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before="0" w:after="0"/>
        <w:jc w:val="left"/>
        <w:rPr/>
      </w:pPr>
      <w:r>
        <w:rPr/>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001-10613 </w:t>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 xml:space="preserve">DYCOM INDUSTRIES, INC.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407"/>
        <w:gridCol w:w="1238"/>
        <w:gridCol w:w="1248"/>
        <w:gridCol w:w="624"/>
        <w:gridCol w:w="607"/>
        <w:gridCol w:w="567"/>
        <w:gridCol w:w="334"/>
        <w:gridCol w:w="323"/>
        <w:gridCol w:w="323"/>
        <w:gridCol w:w="380"/>
        <w:gridCol w:w="363"/>
        <w:gridCol w:w="323"/>
        <w:gridCol w:w="719"/>
        <w:gridCol w:w="719"/>
        <w:gridCol w:w="1030"/>
      </w:tblGrid>
      <w:tr>
        <w:trPr/>
        <w:tc>
          <w:tcPr>
            <w:tcW w:w="140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59-1277135</w:t>
            </w:r>
          </w:p>
        </w:tc>
      </w:tr>
      <w:tr>
        <w:trPr/>
        <w:tc>
          <w:tcPr>
            <w:tcW w:w="3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State or other jurisdiction of incorporation or organization</w:t>
            </w:r>
            <w:r>
              <w:rPr>
                <w:rFonts w:ascii="Times New Roman;serif" w:hAnsi="Times New Roman;serif"/>
                <w:b w:val="false"/>
                <w:color w:val="000000"/>
                <w:sz w:val="20"/>
              </w:rPr>
              <w:t>)</w:t>
            </w:r>
          </w:p>
        </w:tc>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I.R.S. Employer Identification No.</w:t>
            </w:r>
            <w:r>
              <w:rPr>
                <w:rFonts w:ascii="Times New Roman;serif" w:hAnsi="Times New Roman;serif"/>
                <w:b w:val="false"/>
                <w:color w:val="000000"/>
                <w:sz w:val="20"/>
              </w:rPr>
              <w:t>)</w:t>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 Banyan Blvd., Suite 1101</w:t>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 Palm Beach</w:t>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w:t>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33401</w:t>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 including zip code</w:t>
            </w:r>
            <w:r>
              <w:rPr>
                <w:rFonts w:ascii="Times New Roman;serif" w:hAnsi="Times New Roman;serif"/>
                <w:b w:val="false"/>
                <w:color w:val="000000"/>
                <w:sz w:val="20"/>
              </w:rPr>
              <w:t>)</w:t>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(561) 627-7171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103" w:type="dxa"/>
        <w:jc w:val="center"/>
        <w:tblInd w:w="0" w:type="dxa"/>
        <w:tblLayout w:type="fixed"/>
        <w:tblCellMar>
          <w:top w:w="28" w:type="dxa"/>
          <w:left w:w="28" w:type="dxa"/>
          <w:bottom w:w="28" w:type="dxa"/>
          <w:right w:w="28" w:type="dxa"/>
        </w:tblCellMar>
      </w:tblPr>
      <w:tblGrid>
        <w:gridCol w:w="1426"/>
        <w:gridCol w:w="1256"/>
        <w:gridCol w:w="1263"/>
        <w:gridCol w:w="109"/>
        <w:gridCol w:w="109"/>
        <w:gridCol w:w="109"/>
        <w:gridCol w:w="539"/>
        <w:gridCol w:w="539"/>
        <w:gridCol w:w="541"/>
        <w:gridCol w:w="109"/>
        <w:gridCol w:w="109"/>
        <w:gridCol w:w="109"/>
        <w:gridCol w:w="1138"/>
        <w:gridCol w:w="1138"/>
        <w:gridCol w:w="1609"/>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$0.33 1/3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226"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479"/>
        <w:gridCol w:w="479"/>
        <w:gridCol w:w="481"/>
        <w:gridCol w:w="109"/>
        <w:gridCol w:w="109"/>
        <w:gridCol w:w="109"/>
        <w:gridCol w:w="599"/>
        <w:gridCol w:w="599"/>
        <w:gridCol w:w="601"/>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120"/>
        <w:jc w:val="both"/>
        <w:rPr/>
      </w:pPr>
      <w:r>
        <w:rPr/>
      </w:r>
    </w:p>
    <w:p>
      <w:pPr>
        <w:pStyle w:val="TextBody"/>
        <w:bidi w:val="0"/>
        <w:spacing w:lineRule="auto" w:line="252" w:before="0" w:after="120"/>
        <w:jc w:val="both"/>
        <w:rPr>
          <w:rFonts w:ascii="Times New Roman;serif" w:hAnsi="Times New Roman;serif"/>
          <w:b w:val="false"/>
          <w:color w:val="000000"/>
          <w:sz w:val="20"/>
        </w:rPr>
      </w:pPr>
      <w:r>
        <w:rPr>
          <w:rFonts w:ascii="Times New Roman;serif" w:hAnsi="Times New Roman;serif"/>
          <w:b w:val="false"/>
          <w:color w:val="000000"/>
          <w:sz w:val="20"/>
        </w:rPr>
        <w:t>There were 30,160,957 shares of common stock with a par value of $0.33 1/3 outstanding at August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Dycom Industries,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75" w:type="dxa"/>
        <w:jc w:val="center"/>
        <w:tblInd w:w="0" w:type="dxa"/>
        <w:tblLayout w:type="fixed"/>
        <w:tblCellMar>
          <w:top w:w="28" w:type="dxa"/>
          <w:left w:w="28" w:type="dxa"/>
          <w:bottom w:w="28" w:type="dxa"/>
          <w:right w:w="28" w:type="dxa"/>
        </w:tblCellMar>
      </w:tblPr>
      <w:tblGrid>
        <w:gridCol w:w="417"/>
        <w:gridCol w:w="366"/>
        <w:gridCol w:w="366"/>
        <w:gridCol w:w="2455"/>
        <w:gridCol w:w="2455"/>
        <w:gridCol w:w="2455"/>
        <w:gridCol w:w="366"/>
        <w:gridCol w:w="366"/>
        <w:gridCol w:w="529"/>
      </w:tblGrid>
      <w:tr>
        <w:trPr/>
        <w:tc>
          <w:tcPr>
            <w:tcW w:w="41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3">
              <w:r>
                <w:rPr>
                  <w:rStyle w:val="InternetLink"/>
                  <w:rFonts w:ascii="Times New Roman;serif" w:hAnsi="Times New Roman;serif"/>
                  <w:b w:val="false"/>
                  <w:color w:val="0000FF"/>
                  <w:sz w:val="20"/>
                  <w:u w:val="single"/>
                </w:rPr>
                <w:t>Financial Statements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3">
              <w:r>
                <w:rPr>
                  <w:rStyle w:val="InternetLink"/>
                  <w:rFonts w:ascii="Times New Roman;serif" w:hAnsi="Times New Roman;serif"/>
                  <w:b w:val="false"/>
                  <w:color w:val="0000FF"/>
                  <w:sz w:val="20"/>
                  <w:u w:val="single"/>
                </w:rPr>
                <w:t>3</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03">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03">
              <w:r>
                <w:rPr>
                  <w:rStyle w:val="InternetLink"/>
                  <w:rFonts w:ascii="Times New Roman;serif" w:hAnsi="Times New Roman;serif"/>
                  <w:b w:val="false"/>
                  <w:color w:val="0000FF"/>
                  <w:sz w:val="20"/>
                  <w:u w:val="single"/>
                </w:rPr>
                <w:t>30</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18">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18">
              <w:r>
                <w:rPr>
                  <w:rStyle w:val="InternetLink"/>
                  <w:rFonts w:ascii="Times New Roman;serif" w:hAnsi="Times New Roman;serif"/>
                  <w:b w:val="false"/>
                  <w:color w:val="0000FF"/>
                  <w:sz w:val="20"/>
                  <w:u w:val="single"/>
                </w:rPr>
                <w:t>Quantitative and Qualitative Disclosures About Market Risk</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18">
              <w:r>
                <w:rPr>
                  <w:rStyle w:val="InternetLink"/>
                  <w:rFonts w:ascii="Times New Roman;serif" w:hAnsi="Times New Roman;serif"/>
                  <w:b w:val="false"/>
                  <w:color w:val="0000FF"/>
                  <w:sz w:val="20"/>
                  <w:u w:val="single"/>
                </w:rPr>
                <w:t>43</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21">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21">
              <w:r>
                <w:rPr>
                  <w:rStyle w:val="InternetLink"/>
                  <w:rFonts w:ascii="Times New Roman;serif" w:hAnsi="Times New Roman;serif"/>
                  <w:b w:val="false"/>
                  <w:color w:val="0000FF"/>
                  <w:sz w:val="20"/>
                  <w:u w:val="single"/>
                </w:rPr>
                <w:t>Controls and Procedures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21">
              <w:r>
                <w:rPr>
                  <w:rStyle w:val="InternetLink"/>
                  <w:rFonts w:ascii="Times New Roman;serif" w:hAnsi="Times New Roman;serif"/>
                  <w:b w:val="false"/>
                  <w:color w:val="0000FF"/>
                  <w:sz w:val="20"/>
                  <w:u w:val="single"/>
                </w:rPr>
                <w:t>43</w:t>
              </w:r>
            </w:hyperlink>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27">
              <w:r>
                <w:rPr>
                  <w:rStyle w:val="InternetLink"/>
                  <w:rFonts w:ascii="Times New Roman;serif" w:hAnsi="Times New Roman;serif"/>
                  <w:b w:val="false"/>
                  <w:color w:val="0000FF"/>
                  <w:sz w:val="20"/>
                  <w:u w:val="single"/>
                </w:rPr>
                <w:t xml:space="preserve">Item 1.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27">
              <w:r>
                <w:rPr>
                  <w:rStyle w:val="InternetLink"/>
                  <w:rFonts w:ascii="Times New Roman;serif" w:hAnsi="Times New Roman;serif"/>
                  <w:b w:val="false"/>
                  <w:color w:val="0000FF"/>
                  <w:sz w:val="20"/>
                  <w:u w:val="single"/>
                </w:rPr>
                <w:t>Legal Proceedings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27">
              <w:r>
                <w:rPr>
                  <w:rStyle w:val="InternetLink"/>
                  <w:rFonts w:ascii="Times New Roman;serif" w:hAnsi="Times New Roman;serif"/>
                  <w:b w:val="false"/>
                  <w:color w:val="0000FF"/>
                  <w:sz w:val="20"/>
                  <w:u w:val="single"/>
                </w:rPr>
                <w:t>45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30">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30">
              <w:r>
                <w:rPr>
                  <w:rStyle w:val="InternetLink"/>
                  <w:rFonts w:ascii="Times New Roman;serif" w:hAnsi="Times New Roman;serif"/>
                  <w:b w:val="false"/>
                  <w:color w:val="0000FF"/>
                  <w:sz w:val="20"/>
                  <w:u w:val="single"/>
                </w:rPr>
                <w:t>Risk Factors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30">
              <w:r>
                <w:rPr>
                  <w:rStyle w:val="InternetLink"/>
                  <w:rFonts w:ascii="Times New Roman;serif" w:hAnsi="Times New Roman;serif"/>
                  <w:b w:val="false"/>
                  <w:color w:val="0000FF"/>
                  <w:sz w:val="20"/>
                  <w:u w:val="single"/>
                </w:rPr>
                <w:t>45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33">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33">
              <w:r>
                <w:rPr>
                  <w:rStyle w:val="InternetLink"/>
                  <w:rFonts w:ascii="Times New Roman;serif" w:hAnsi="Times New Roman;serif"/>
                  <w:b w:val="false"/>
                  <w:color w:val="0000FF"/>
                  <w:sz w:val="20"/>
                  <w:u w:val="single"/>
                </w:rPr>
                <w:t>Unregistered Sales of Equity Securities and Use of Proceeds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33">
              <w:r>
                <w:rPr>
                  <w:rStyle w:val="InternetLink"/>
                  <w:rFonts w:ascii="Times New Roman;serif" w:hAnsi="Times New Roman;serif"/>
                  <w:b w:val="false"/>
                  <w:color w:val="0000FF"/>
                  <w:sz w:val="20"/>
                  <w:u w:val="single"/>
                </w:rPr>
                <w:t>45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36">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36">
              <w:r>
                <w:rPr>
                  <w:rStyle w:val="InternetLink"/>
                  <w:rFonts w:ascii="Times New Roman;serif" w:hAnsi="Times New Roman;serif"/>
                  <w:b w:val="false"/>
                  <w:color w:val="0000FF"/>
                  <w:sz w:val="20"/>
                  <w:u w:val="single"/>
                </w:rPr>
                <w:t>Other Information</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36">
              <w:r>
                <w:rPr>
                  <w:rStyle w:val="InternetLink"/>
                  <w:rFonts w:ascii="Times New Roman;serif" w:hAnsi="Times New Roman;serif"/>
                  <w:b w:val="false"/>
                  <w:color w:val="0000FF"/>
                  <w:sz w:val="20"/>
                  <w:u w:val="single"/>
                </w:rPr>
                <w:t>45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2b4d703ccbc48198cb9b8e5f2782925_139">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b4d703ccbc48198cb9b8e5f2782925_139">
              <w:r>
                <w:rPr>
                  <w:rStyle w:val="InternetLink"/>
                  <w:rFonts w:ascii="Times New Roman;serif" w:hAnsi="Times New Roman;serif"/>
                  <w:b w:val="false"/>
                  <w:color w:val="0000FF"/>
                  <w:sz w:val="20"/>
                  <w:u w:val="single"/>
                </w:rPr>
                <w:t>Exhibits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39">
              <w:r>
                <w:rPr>
                  <w:rStyle w:val="InternetLink"/>
                  <w:rFonts w:ascii="Times New Roman;serif" w:hAnsi="Times New Roman;serif"/>
                  <w:b w:val="false"/>
                  <w:color w:val="0000FF"/>
                  <w:sz w:val="20"/>
                  <w:u w:val="single"/>
                </w:rPr>
                <w:t>46</w:t>
              </w:r>
            </w:hyperlink>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b4d703ccbc48198cb9b8e5f2782925_142">
              <w:r>
                <w:rPr>
                  <w:rStyle w:val="InternetLink"/>
                  <w:rFonts w:ascii="Times New Roman;serif" w:hAnsi="Times New Roman;serif"/>
                  <w:b w:val="false"/>
                  <w:color w:val="0000FF"/>
                  <w:sz w:val="20"/>
                  <w:u w:val="single"/>
                </w:rPr>
                <w:t>47</w:t>
              </w:r>
            </w:hyperlink>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rFonts w:ascii="Times New Roman;serif" w:hAnsi="Times New Roman;serif"/>
          <w:b/>
          <w:i/>
          <w:color w:val="000000"/>
          <w:sz w:val="20"/>
        </w:rPr>
        <w:t>.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37"/>
        <w:gridCol w:w="2211"/>
        <w:gridCol w:w="2109"/>
        <w:gridCol w:w="215"/>
        <w:gridCol w:w="997"/>
        <w:gridCol w:w="111"/>
        <w:gridCol w:w="109"/>
        <w:gridCol w:w="109"/>
        <w:gridCol w:w="109"/>
        <w:gridCol w:w="235"/>
        <w:gridCol w:w="1089"/>
        <w:gridCol w:w="174"/>
      </w:tblGrid>
      <w:tr>
        <w:trPr/>
        <w:tc>
          <w:tcPr>
            <w:tcW w:w="273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(Note 6)</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3,052,242 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2,756,895 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1,598,946 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1,443,435 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6,540,044 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5,979,182 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claims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1,299,885 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1,006,900 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2,791,336 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2,810,497 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claims - non-current</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 non-current </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 - non-current</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4,476,138 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4,120,046 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21)</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$1.00 per share: 1,000,000 shares authorized: no shares issued and outstanding</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$0.33 1/3 per share: 150,000,000 shares authorized: 30,155,100 and 29,969,648 issued and outstanding,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1,467,487 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2,063,906 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1,859,136 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6,540,044 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5,979,182 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52" w:type="dxa"/>
        <w:jc w:val="center"/>
        <w:tblInd w:w="0" w:type="dxa"/>
        <w:tblLayout w:type="fixed"/>
        <w:tblCellMar>
          <w:top w:w="28" w:type="dxa"/>
          <w:left w:w="28" w:type="dxa"/>
          <w:bottom w:w="28" w:type="dxa"/>
          <w:right w:w="28" w:type="dxa"/>
        </w:tblCellMar>
      </w:tblPr>
      <w:tblGrid>
        <w:gridCol w:w="2002"/>
        <w:gridCol w:w="1765"/>
        <w:gridCol w:w="1768"/>
        <w:gridCol w:w="219"/>
        <w:gridCol w:w="1017"/>
        <w:gridCol w:w="113"/>
        <w:gridCol w:w="109"/>
        <w:gridCol w:w="109"/>
        <w:gridCol w:w="109"/>
        <w:gridCol w:w="211"/>
        <w:gridCol w:w="97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1,813,912 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common share:</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30,083,100 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30,363,819 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52" w:type="dxa"/>
        <w:jc w:val="center"/>
        <w:tblInd w:w="0" w:type="dxa"/>
        <w:tblLayout w:type="fixed"/>
        <w:tblCellMar>
          <w:top w:w="28" w:type="dxa"/>
          <w:left w:w="28" w:type="dxa"/>
          <w:bottom w:w="28" w:type="dxa"/>
          <w:right w:w="28" w:type="dxa"/>
        </w:tblCellMar>
      </w:tblPr>
      <w:tblGrid>
        <w:gridCol w:w="2002"/>
        <w:gridCol w:w="1765"/>
        <w:gridCol w:w="1768"/>
        <w:gridCol w:w="219"/>
        <w:gridCol w:w="1017"/>
        <w:gridCol w:w="113"/>
        <w:gridCol w:w="109"/>
        <w:gridCol w:w="109"/>
        <w:gridCol w:w="109"/>
        <w:gridCol w:w="211"/>
        <w:gridCol w:w="97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3,634,940 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260,685 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common share:</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30,027,734 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30,373,045 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29,253,040 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32"/>
        <w:gridCol w:w="707"/>
        <w:gridCol w:w="709"/>
        <w:gridCol w:w="540"/>
        <w:gridCol w:w="541"/>
        <w:gridCol w:w="226"/>
        <w:gridCol w:w="109"/>
        <w:gridCol w:w="109"/>
        <w:gridCol w:w="109"/>
        <w:gridCol w:w="211"/>
        <w:gridCol w:w="721"/>
        <w:gridCol w:w="109"/>
        <w:gridCol w:w="109"/>
        <w:gridCol w:w="109"/>
        <w:gridCol w:w="109"/>
        <w:gridCol w:w="229"/>
        <w:gridCol w:w="897"/>
        <w:gridCol w:w="118"/>
        <w:gridCol w:w="109"/>
        <w:gridCol w:w="109"/>
        <w:gridCol w:w="109"/>
        <w:gridCol w:w="109"/>
        <w:gridCol w:w="109"/>
        <w:gridCol w:w="211"/>
        <w:gridCol w:w="976"/>
        <w:gridCol w:w="109"/>
        <w:gridCol w:w="109"/>
        <w:gridCol w:w="109"/>
        <w:gridCol w:w="109"/>
        <w:gridCol w:w="211"/>
        <w:gridCol w:w="976"/>
        <w:gridCol w:w="156"/>
      </w:tblGrid>
      <w:tr>
        <w:trPr/>
        <w:tc>
          <w:tcPr>
            <w:tcW w:w="103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670" w:type="dxa"/>
            <w:gridSpan w:val="6"/>
            <w:tcBorders/>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1670" w:type="dxa"/>
            <w:gridSpan w:val="6"/>
            <w:tcBorders/>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Equity</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May 2,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30,024,974 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326,920 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tax withholdings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acquisition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August 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30,155,100 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379,441 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670" w:type="dxa"/>
            <w:gridSpan w:val="6"/>
            <w:tcBorders/>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1670" w:type="dxa"/>
            <w:gridSpan w:val="6"/>
            <w:tcBorders/>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Equity</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April 26,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28,924,326 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tax withholdings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July 26,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28,948,365 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1,369,731 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5"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tc>
        <w:tc>
          <w:tcPr>
            <w:tcW w:w="1670"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59"/>
        <w:gridCol w:w="704"/>
        <w:gridCol w:w="706"/>
        <w:gridCol w:w="540"/>
        <w:gridCol w:w="541"/>
        <w:gridCol w:w="226"/>
        <w:gridCol w:w="109"/>
        <w:gridCol w:w="109"/>
        <w:gridCol w:w="109"/>
        <w:gridCol w:w="211"/>
        <w:gridCol w:w="721"/>
        <w:gridCol w:w="109"/>
        <w:gridCol w:w="109"/>
        <w:gridCol w:w="109"/>
        <w:gridCol w:w="109"/>
        <w:gridCol w:w="225"/>
        <w:gridCol w:w="882"/>
        <w:gridCol w:w="116"/>
        <w:gridCol w:w="109"/>
        <w:gridCol w:w="109"/>
        <w:gridCol w:w="109"/>
        <w:gridCol w:w="109"/>
        <w:gridCol w:w="109"/>
        <w:gridCol w:w="211"/>
        <w:gridCol w:w="976"/>
        <w:gridCol w:w="109"/>
        <w:gridCol w:w="109"/>
        <w:gridCol w:w="109"/>
        <w:gridCol w:w="109"/>
        <w:gridCol w:w="211"/>
        <w:gridCol w:w="976"/>
        <w:gridCol w:w="156"/>
      </w:tblGrid>
      <w:tr>
        <w:trPr/>
        <w:tc>
          <w:tcPr>
            <w:tcW w:w="105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1670" w:type="dxa"/>
            <w:gridSpan w:val="6"/>
            <w:tcBorders/>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1670" w:type="dxa"/>
            <w:gridSpan w:val="6"/>
            <w:tcBorders/>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Equity</w:t>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January 31,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29,969,648 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381,659 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tax withholdings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acquisition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applicable excise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August 1,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30,155,100 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379,441 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2,063,906 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1670" w:type="dxa"/>
            <w:gridSpan w:val="6"/>
            <w:tcBorders/>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1670" w:type="dxa"/>
            <w:gridSpan w:val="6"/>
            <w:tcBorders/>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Equity</w:t>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3"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January 25,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28,978,949 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1,239,097 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tax withholdings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applicable excise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July 26,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28,948,365 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1,369,731 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5"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tc>
        <w:tc>
          <w:tcPr>
            <w:tcW w:w="1670"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50" w:type="dxa"/>
        <w:jc w:val="center"/>
        <w:tblInd w:w="0" w:type="dxa"/>
        <w:tblLayout w:type="fixed"/>
        <w:tblCellMar>
          <w:top w:w="28" w:type="dxa"/>
          <w:left w:w="28" w:type="dxa"/>
          <w:bottom w:w="28" w:type="dxa"/>
          <w:right w:w="28" w:type="dxa"/>
        </w:tblCellMar>
      </w:tblPr>
      <w:tblGrid>
        <w:gridCol w:w="2489"/>
        <w:gridCol w:w="2191"/>
        <w:gridCol w:w="2205"/>
        <w:gridCol w:w="248"/>
        <w:gridCol w:w="973"/>
        <w:gridCol w:w="128"/>
        <w:gridCol w:w="109"/>
        <w:gridCol w:w="109"/>
        <w:gridCol w:w="109"/>
        <w:gridCol w:w="228"/>
        <w:gridCol w:w="895"/>
        <w:gridCol w:w="166"/>
      </w:tblGrid>
      <w:tr>
        <w:trPr/>
        <w:tc>
          <w:tcPr>
            <w:tcW w:w="248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fixed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other</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 net of acquisitions:</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inventories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payable/receivable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insurance claims, operating lease liabilities, and other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22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79,082 </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6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2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(371,594)</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(107,693)</w:t>
            </w:r>
          </w:p>
        </w:tc>
        <w:tc>
          <w:tcPr>
            <w:tcW w:w="16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on Credit Agreement, including term loan facilities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Credit Agreement, including term loan facilities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assumed in acquisitions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tax withholdings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22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(76,573)</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39,905 </w:t>
            </w:r>
          </w:p>
        </w:tc>
        <w:tc>
          <w:tcPr>
            <w:tcW w:w="16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22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(369,085)</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(64,310)</w:t>
            </w:r>
          </w:p>
        </w:tc>
        <w:tc>
          <w:tcPr>
            <w:tcW w:w="16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 (Note 8)</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 (Note 8)</w:t>
            </w:r>
          </w:p>
        </w:tc>
        <w:tc>
          <w:tcPr>
            <w:tcW w:w="2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341,784 </w:t>
            </w:r>
          </w:p>
        </w:tc>
        <w:tc>
          <w:tcPr>
            <w:tcW w:w="1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30,164 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06"/>
        <w:gridCol w:w="2465"/>
        <w:gridCol w:w="2478"/>
        <w:gridCol w:w="211"/>
        <w:gridCol w:w="721"/>
        <w:gridCol w:w="109"/>
        <w:gridCol w:w="109"/>
        <w:gridCol w:w="109"/>
        <w:gridCol w:w="109"/>
        <w:gridCol w:w="211"/>
        <w:gridCol w:w="721"/>
        <w:gridCol w:w="156"/>
      </w:tblGrid>
      <w:tr>
        <w:trPr/>
        <w:tc>
          <w:tcPr>
            <w:tcW w:w="2806"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Supplemental disclosure of other cash flow activities and non-cash investing and financing activities</w:t>
            </w:r>
            <w:r>
              <w:rPr>
                <w:rFonts w:ascii="Times New Roman;serif" w:hAnsi="Times New Roman;serif"/>
                <w:b w:val="false"/>
                <w:color w:val="000000"/>
                <w:sz w:val="20"/>
              </w:rPr>
              <w:t>:</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capital assets included in accounts payable or other accrued liabilities at period 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acquisitions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 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Dycom Industries, Inc. (“Dycom,” the “Company,” “we,” “our,” or “us”) is a leading provider of specialty contracting services focused on the digital infrastructure, telecommunications and utilities industries throughout the United States. These services include program management; planning; engineering and design; aerial, underground, and wireless construction; maintenance; and fulfillment services for telecommunications and digital infrastructure providers. We also provide underground facility locating services for various utilities, including telecommunications providers, as well as other construction and maintenance services for electric and gas utilities. Additionally, with the acquisition of Power Solutions, LLC (“Power Solutions”) in the fourth quarter of fiscal 2026 and National Technology Integrators, LLC (“National Technology Integrators”), in the second quarter of fiscal 2027, we provid</w:t>
      </w:r>
      <w:r>
        <w:rPr>
          <w:rFonts w:ascii="Times New Roman;serif" w:hAnsi="Times New Roman;serif"/>
          <w:b w:val="false"/>
          <w:color w:val="000000"/>
          <w:sz w:val="20"/>
          <w:shd w:fill="FFFFFF" w:val="clear"/>
        </w:rPr>
        <w:t>e comprehensive building infrastructure solutions, including electrical, energy management, inside-plant structured cabling, and advanced audio-visual, security and fire safety systems for data centers and other critical facilities.</w:t>
      </w:r>
      <w:r>
        <w:rPr>
          <w:color w:val="000000"/>
        </w:rPr>
        <w:t xml:space="preserve"> </w:t>
      </w:r>
      <w:r>
        <w:rPr>
          <w:rFonts w:ascii="Times New Roman;serif" w:hAnsi="Times New Roman;serif"/>
          <w:b w:val="false"/>
          <w:color w:val="000000"/>
          <w:sz w:val="20"/>
        </w:rPr>
        <w:t xml:space="preserve">Dycom supplies the labor, tools, and equipment necessary to provide these services to its customers.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Accounting Period. </w:t>
      </w:r>
      <w:r>
        <w:rPr>
          <w:rFonts w:ascii="Times New Roman;serif" w:hAnsi="Times New Roman;serif"/>
          <w:b w:val="false"/>
          <w:color w:val="000000"/>
          <w:sz w:val="20"/>
        </w:rPr>
        <w:t>Our fiscal year ends on the last Saturday in January. As a result, each fiscal year consists of either 52 weeks or 53 weeks of operations (with the additional week of operations occurring in the fourth quarter). Fiscal 2027 consists of 52 weeks of operations, while fiscal 2026 consisted of 53 weeks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The accompanying unaudited condensed consolidated financial statements of the Company and its subsidiaries, all of which are wholly-owned, have been prepared in accordance with accounting principles generally accepted in the United States of America (“GAAP”) for interim financial information and with the instructions to Form 10-Q and Rule 10-01 of Regulation S-X of the U.S. Securities and Exchange Commission (“SEC”). Accordingly, they do not include all of the information and notes required by GAAP for annual financial statements and should be read in conjunction with </w:t>
      </w:r>
      <w:r>
        <w:rPr>
          <w:rFonts w:ascii="Times New Roman;serif" w:hAnsi="Times New Roman;serif"/>
          <w:b w:val="false"/>
          <w:i/>
          <w:color w:val="000000"/>
          <w:sz w:val="20"/>
        </w:rPr>
        <w:t>Management’s</w:t>
      </w:r>
      <w:r>
        <w:rPr>
          <w:color w:val="000000"/>
        </w:rPr>
        <w:t xml:space="preserve"> </w:t>
      </w:r>
      <w:r>
        <w:rPr>
          <w:rFonts w:ascii="Times New Roman;serif" w:hAnsi="Times New Roman;serif"/>
          <w:b w:val="false"/>
          <w:i/>
          <w:color w:val="000000"/>
          <w:sz w:val="20"/>
        </w:rPr>
        <w:t xml:space="preserve">Discussion and Analysis of Financial Condition and Results of Operations </w:t>
      </w:r>
      <w:r>
        <w:rPr>
          <w:rFonts w:ascii="Times New Roman;serif" w:hAnsi="Times New Roman;serif"/>
          <w:b w:val="false"/>
          <w:color w:val="000000"/>
          <w:sz w:val="20"/>
        </w:rPr>
        <w:t>contained in this report and the Company’s audited financial statements included in the Company’s Annual Report on Form 10-K for fiscal 2026, filed with the SEC on March 9, 2026. In the opinion of management, all adjustments considered necessary for a fair statement of the results for the interim periods presented have been included. This includes all normal and recurring adjustments and elimination of intercompany accounts and transactions. Operating results for the interim period are not necessarily indicative of the results expected for any subsequent interim or annual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The Company operates in two reportable segments, Communications and Building Systems. Services are provided on a decentralized basis. Each operating segment consists of a subsidiary (or in certain instances, the combination of two or more subsidiaries), whose results are regularly reviewed by the Company’s Chief Executive Officer, the chief operating decision maker (“CODM”). All of the Company’s Communications operating segments have been aggregated into one reportable segment based on their similar economic characteristics, nature of services and production processes, type of customers, and service distribution methods. During fiscal 2026, following the acquisition of Power Solutions, the CODM reevaluated the Company’s reportable segments, which resulted in the addition of the Building Systems segment as a component of management’s internal financial information used for operational decision-making. Beginning in fiscal 2026, the Company reports the results of the</w:t>
      </w:r>
      <w:r>
        <w:rPr>
          <w:color w:val="000000"/>
          <w:shd w:fill="FFFFFF" w:val="clear"/>
        </w:rPr>
        <w:t xml:space="preserve"> </w:t>
      </w:r>
      <w:r>
        <w:rPr>
          <w:rFonts w:ascii="Times New Roman;serif" w:hAnsi="Times New Roman;serif"/>
          <w:b w:val="false"/>
          <w:color w:val="000000"/>
          <w:sz w:val="20"/>
          <w:shd w:fill="FFFFFF" w:val="clear"/>
        </w:rPr>
        <w:t>Building Systems segment separately as a reportable segment. The Building Systems segment specializes in providing comprehensive building infrastructure solutions, including electrical, energy management, inside-plant structured cabling, and advanced audio-visual, security and fire safety systems for data centers and other critical facilities</w:t>
      </w:r>
      <w:r>
        <w:rPr>
          <w:rFonts w:ascii="Times New Roman;serif" w:hAnsi="Times New Roman;serif"/>
          <w:b w:val="false"/>
          <w:color w:val="000000"/>
          <w:sz w:val="20"/>
        </w:rPr>
        <w:t xml:space="preserve">. See Note 20, </w:t>
      </w:r>
      <w:r>
        <w:rPr>
          <w:rFonts w:ascii="Times New Roman;serif" w:hAnsi="Times New Roman;serif"/>
          <w:b w:val="false"/>
          <w:i/>
          <w:color w:val="000000"/>
          <w:sz w:val="20"/>
        </w:rPr>
        <w:t>Segment Reporting</w:t>
      </w:r>
      <w:r>
        <w:rPr>
          <w:rFonts w:ascii="Times New Roman;serif" w:hAnsi="Times New Roman;serif"/>
          <w:b w:val="false"/>
          <w:color w:val="000000"/>
          <w:sz w:val="20"/>
        </w:rPr>
        <w: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 Significant Accounting Policies and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and critical accounting estimates described in the Company’s Annual Report on Form 10-K for fiscal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Use of Estimates. </w:t>
      </w:r>
      <w:r>
        <w:rPr>
          <w:rFonts w:ascii="Times New Roman;serif" w:hAnsi="Times New Roman;serif"/>
          <w:b w:val="false"/>
          <w:color w:val="000000"/>
          <w:sz w:val="20"/>
        </w:rPr>
        <w:t xml:space="preserve">The preparation of financial statements in conformity with GAAP requires management to make certain estimates and assumptions that affect the amounts reported in these condensed consolidated financial statements and accompanying notes. These estimates are based on our historical experience and management’s understanding of current facts and circumstances. At the time they are made, we believe that such estimates are fair when considered in conjunction with the Company’s consolidated financial position and results of operations taken as a whole. However, actual results could differ materially from those estimates.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Per Share Data. </w:t>
      </w:r>
      <w:r>
        <w:rPr>
          <w:rFonts w:ascii="Times New Roman;serif" w:hAnsi="Times New Roman;serif"/>
          <w:b w:val="false"/>
          <w:color w:val="000000"/>
          <w:sz w:val="20"/>
        </w:rPr>
        <w:t xml:space="preserve">Basic earnings per common share is computed based on the weighted average number of common shares outstanding during the period, excluding unvested restricted share units. Diluted earnings per common share includes the weighted average number of common shares outstanding during the period and dilutive potential common shares arising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stock-based awards (including unvested restricted share units) if their inclusion is dilutive under the treasury stock method. Common stock equivalents related to stock-based awards are excluded from diluted earnings per common share calculations if their effect would be anti-dilutive.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Prior to the acquisition of National Technology Integrators during the three months ended August 1, 2026, our lease population consisted solely of operating leases. See Note 5, </w:t>
      </w:r>
      <w:r>
        <w:rPr>
          <w:rFonts w:ascii="Times New Roman;serif" w:hAnsi="Times New Roman;serif"/>
          <w:b w:val="false"/>
          <w:i/>
          <w:color w:val="000000"/>
          <w:sz w:val="20"/>
        </w:rPr>
        <w:t>Acquisitions</w:t>
      </w:r>
      <w:r>
        <w:rPr>
          <w:rFonts w:ascii="Times New Roman;serif" w:hAnsi="Times New Roman;serif"/>
          <w:b w:val="false"/>
          <w:color w:val="000000"/>
          <w:sz w:val="20"/>
        </w:rPr>
        <w:t>, for information on our recent acquisition. We account for our leases as either finance or operating leases when the initial lease term is greater than 12 months. The lease term may include options to extend or terminate the lease when it is reasonably certain that we will exercise that option. Leases with an initial term of 12 months or less are not recorded on our consolidated balance sheet.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right-of-use assets for finance leases are included on our consolidated balance sheet in property and equipment, net of accumulated depreciation, with a corresponding amount recorded in current portion of debt or long-term debt, as appropriate. The finance lease assets are amortized on a straight-line basis over the lease term and included in depreciation expense. The financing component associated with finance lease obligations is included in interest expense. As our finance leases were part of the National Technology Integrators acquisition, we used our incremental borrowing rate based on the information available at the acquisition date in determining the present value of the remaining lease payments.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Operating leases are included in </w:t>
      </w:r>
      <w:r>
        <w:rPr>
          <w:rFonts w:ascii="Times New Roman;serif" w:hAnsi="Times New Roman;serif"/>
          <w:b w:val="false"/>
          <w:color w:val="000000"/>
          <w:sz w:val="20"/>
        </w:rPr>
        <w:t xml:space="preserve">operating lease right-of-use assets and corresponding operating lease liabilities. Operating lease right-of-use assets represent our right to use the underlying asset for the lease term and operating lease liabilities represent our obligation to make the related lease payments. These assets and liabilities are recognized at the commencement date based on the present value of lease payments over the lease term. As our operating leases do not provide an implicit rate, we use our incremental borrowing rate based on the information available at the commencement date in determining the present value of lease payments.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3. Accounting Standards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Recently issued accounting pronouncements are disclosed in the Company’s Annual Report on Form 10-K for fiscal 2026. As of the date of this Quarterly Report on Form 10-Q, there have been no changes in the expected dates of adoption or estimated effects on the Company’s condensed consolidated financial statements of recently issued accounting pronouncements from those disclosed in the Company’s Annual Report on Form 10-K for fiscal 2026. Further, there have been no additional accounting standards issued as of the date of this Quarterly Report on Form 10-Q that are applicable to the condensed consolidated financial statements of the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Recently Adopted Accounting Standards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None.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Accounting Standards Not Yet Adopted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In November 2024, the FASB issued ASU 2024-03, Income Statement (Subtopic 220-40): Disaggregation of Income Statement Expenses. This ASU requires public entities to disclose, in the notes to the financial statements, specified information about certain costs and expenses at each interim and annual reporting period. In January 2025, the FASB issued ASU 2025-01, Income Statements (Subtopic 220-40): Clarifying the Effective Date. This ASU is effective for annual reporting periods beginning after December 15, 2026, and interim periods beginning after December 15, 2027, with early adoption permitted. We are currently evaluating the impact of the standard on our condensed consolidated financial statements.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xml:space="preserve">. In September 2025, the FASB issued ASU 2025-06, Intangibles - Goodwill and Other - Internal-Use Software (Subtopic 350-40): Targeted Improvements to the Accounting for Internal-Use Software. The ASU modernizes the approach for internal-use software by eliminating the previous stage-based capitalization model so that the guidance is neutral to different software development projects. Entities may apply the guidance using a prospective, retrospective or modified transition approach. ASU 2025-06 is effective for fiscal years beginning after December 15, 2027. We are currently evaluating the impact of the standard on our condensed consolidated financial statements.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other new accounting pronouncements that have been issued but not yet effective are currently being evaluated and at this time are not expected to have a material impact on our financial position or results of operations.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4</w:t>
      </w:r>
      <w:r>
        <w:rPr>
          <w:rFonts w:ascii="Times New Roman;serif" w:hAnsi="Times New Roman;serif"/>
          <w:b/>
          <w:i/>
          <w:color w:val="000000"/>
          <w:sz w:val="20"/>
        </w:rPr>
        <w:t>. Computation of Earnings per Common Share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common share (dollars in thousands, except per share amounts):</w:t>
      </w:r>
    </w:p>
    <w:tbl>
      <w:tblPr>
        <w:tblW w:w="10205" w:type="dxa"/>
        <w:jc w:val="left"/>
        <w:tblInd w:w="0" w:type="dxa"/>
        <w:tblLayout w:type="fixed"/>
        <w:tblCellMar>
          <w:top w:w="28" w:type="dxa"/>
          <w:left w:w="28" w:type="dxa"/>
          <w:bottom w:w="28" w:type="dxa"/>
          <w:right w:w="28" w:type="dxa"/>
        </w:tblCellMar>
      </w:tblPr>
      <w:tblGrid>
        <w:gridCol w:w="1702"/>
        <w:gridCol w:w="1266"/>
        <w:gridCol w:w="1270"/>
        <w:gridCol w:w="248"/>
        <w:gridCol w:w="892"/>
        <w:gridCol w:w="116"/>
        <w:gridCol w:w="109"/>
        <w:gridCol w:w="109"/>
        <w:gridCol w:w="109"/>
        <w:gridCol w:w="252"/>
        <w:gridCol w:w="843"/>
        <w:gridCol w:w="117"/>
        <w:gridCol w:w="109"/>
        <w:gridCol w:w="109"/>
        <w:gridCol w:w="109"/>
        <w:gridCol w:w="248"/>
        <w:gridCol w:w="891"/>
        <w:gridCol w:w="116"/>
        <w:gridCol w:w="109"/>
        <w:gridCol w:w="109"/>
        <w:gridCol w:w="109"/>
        <w:gridCol w:w="228"/>
        <w:gridCol w:w="870"/>
        <w:gridCol w:w="165"/>
      </w:tblGrid>
      <w:tr>
        <w:trPr/>
        <w:tc>
          <w:tcPr>
            <w:tcW w:w="170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(numerator)</w:t>
            </w:r>
          </w:p>
        </w:tc>
        <w:tc>
          <w:tcPr>
            <w:tcW w:w="2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115,637 </w:t>
            </w:r>
          </w:p>
        </w:tc>
        <w:tc>
          <w:tcPr>
            <w:tcW w:w="1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97,483 </w:t>
            </w:r>
          </w:p>
        </w:tc>
        <w:tc>
          <w:tcPr>
            <w:tcW w:w="11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6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(denominator)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30,083,100 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28,941,976 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30,027,734 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28,936,188 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30,083,100 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28,941,976 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30,027,734 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28,936,188 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shares of common stock arising from stock options, and unvested restricted share units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shares-diluted (denominator)</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30,363,819 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29,242,455 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30,373,045 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29,253,040 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weighted shares excluded from the calculation of earnings per common share</w:t>
            </w:r>
          </w:p>
        </w:tc>
        <w:tc>
          <w:tcPr>
            <w:tcW w:w="114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99,692 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131,554 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89,226 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154,493 </w:t>
            </w:r>
          </w:p>
        </w:tc>
        <w:tc>
          <w:tcPr>
            <w:tcW w:w="1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5. Acquisitions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Fiscal 2027.</w:t>
      </w:r>
      <w:r>
        <w:rPr>
          <w:color w:val="000000"/>
        </w:rPr>
        <w:t xml:space="preserve"> </w:t>
      </w:r>
      <w:r>
        <w:rPr>
          <w:rFonts w:ascii="Times New Roman;serif" w:hAnsi="Times New Roman;serif"/>
          <w:b w:val="false"/>
          <w:color w:val="000000"/>
          <w:sz w:val="20"/>
        </w:rPr>
        <w:t xml:space="preserve">During the second quarter of fiscal 2027, we acquired National Technology Integrators, a low-voltage engineering and construction firm based in Maryland. This acquisition expands our service offerings and our customer base. The purchase price is valued at $275.0 million as of the signing of the acquisition on a cash-free, debt-free basis. The value is subject to post-closing adjustment, including the final determination of cash, indebtedness, transaction expenses, and working capital balances. At the closing date, the funding of the acquisition included a cash payment of $226.4 million ($225.4 million net of cash acquired of $1.0 million), the issuance of 95,550 shares of Dycom common stock to the sellers valued at $45.0 million, and the assumption of seller indebtedness of $12.3 million. Total consideration was $271.4 million. National Technology Integrators is reported as part of the Company’s Building Systems segment. The purchase price allocation for this business is preliminary and will be completed when valuations for intangible assets and other amounts are finalized within the 12-month measurement period from the date of acquisition.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Fiscal 2026.</w:t>
      </w:r>
      <w:r>
        <w:rPr>
          <w:color w:val="000000"/>
        </w:rPr>
        <w:t xml:space="preserve"> </w:t>
      </w:r>
      <w:r>
        <w:rPr>
          <w:rFonts w:ascii="Times New Roman;serif" w:hAnsi="Times New Roman;serif"/>
          <w:b w:val="false"/>
          <w:color w:val="000000"/>
          <w:sz w:val="20"/>
        </w:rPr>
        <w:t xml:space="preserve">During the fourth quarter of fiscal 2026, we acquired Power Solutions, LLC (“Power Solutions”), a company that provides </w:t>
      </w:r>
      <w:r>
        <w:rPr>
          <w:rFonts w:ascii="Times New Roman;serif" w:hAnsi="Times New Roman;serif"/>
          <w:b w:val="false"/>
          <w:color w:val="000000"/>
          <w:sz w:val="20"/>
          <w:shd w:fill="FFFFFF" w:val="clear"/>
        </w:rPr>
        <w:t>comprehensive building infrastructure solutions, including electrical, energy management, security, and fire safety systems for data centers and other critical facilities i</w:t>
      </w:r>
      <w:r>
        <w:rPr>
          <w:rFonts w:ascii="Times New Roman;serif" w:hAnsi="Times New Roman;serif"/>
          <w:b w:val="false"/>
          <w:color w:val="000000"/>
          <w:sz w:val="20"/>
        </w:rPr>
        <w:t xml:space="preserve">n the Greater Washington D.C., Maryland, and Virginia area. This acquisition expands our service offerings and our customer base. The purchase price was valued at $1.95 billion as of the signing of the acquisition on a cash-free, debt-free basis. The value was subject to post-closing adjustment, including the final determination of cash, indebtedness and working capital balances. At the closing date, the funding of the acquisition included a cash payment of $1,644.9 million ($1,628.6 million net of cash acquired of $16.3 million), the issuance of 1,011,069 shares of Dycom common stock to the sellers valued at $351.0 million, and the assumption of seller indebtedness of $64.8 million. A post-closing working capital adjustment of $12.8 million was recorded during the first quarter of fiscal 2027. Total consideration was $2,008.7 million. The acquisition of Power Solutions resulted in the addition of a new operating segment which is also a new reportable segment – Building Systems. For additional information on our reportable segments, see Note 20,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 xml:space="preserve">The purchase price allocation for this business is preliminary and will be completed when valuations for intangible assets and other amounts are finalized within the 12-month measurement period from the date of acquisition.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price of the acquired companies was allocated based on the fair value of the assets acquired and the liabilities assumed on the date of acquisition. The excess purchase price over the estimated fair value of the net assets acquired was recognized as goodwill.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consideration paid and the estimated fair value of assets acquired and liabilities assumed for each acquisition described above as of their respective acquisition dates (dollars in millions):</w:t>
      </w:r>
    </w:p>
    <w:p>
      <w:pPr>
        <w:pStyle w:val="TextBody"/>
        <w:bidi w:val="0"/>
        <w:spacing w:before="0" w:after="0"/>
        <w:ind w:left="0" w:right="0" w:firstLine="360"/>
        <w:jc w:val="left"/>
        <w:rPr/>
      </w:pPr>
      <w:r>
        <w:rPr/>
      </w:r>
    </w:p>
    <w:tbl>
      <w:tblPr>
        <w:tblW w:w="4607" w:type="dxa"/>
        <w:jc w:val="left"/>
        <w:tblInd w:w="0" w:type="dxa"/>
        <w:tblLayout w:type="fixed"/>
        <w:tblCellMar>
          <w:top w:w="28" w:type="dxa"/>
          <w:left w:w="28" w:type="dxa"/>
          <w:bottom w:w="28" w:type="dxa"/>
          <w:right w:w="28" w:type="dxa"/>
        </w:tblCellMar>
      </w:tblPr>
      <w:tblGrid>
        <w:gridCol w:w="748"/>
        <w:gridCol w:w="658"/>
        <w:gridCol w:w="664"/>
        <w:gridCol w:w="243"/>
        <w:gridCol w:w="711"/>
        <w:gridCol w:w="125"/>
        <w:gridCol w:w="109"/>
        <w:gridCol w:w="109"/>
        <w:gridCol w:w="109"/>
        <w:gridCol w:w="211"/>
        <w:gridCol w:w="76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excess purchase price over the estimated fair value of the net assets acquired was recognized as goodwill. Goodwill and intangible assets total $270.1 million and $1,899.4 million for the 2027 and 2026 acquisitions, respectively and are deductible for tax purposes. Accounts receivable, contract assets (liabilities) and current liabilities were either stated at their historical carrying values, which approximate fair value given the short-term nature of these assets and liabilities, or were stated at their fair values based on an evaluation of the current market value of such assets and liabilities. The estimate of fair value for fixed assets was based on an assessment of acquired assets’ condition as well as an evaluation of the current market value of such assets.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intangible assets based on its estimate of fair value which consisted of the following (dollars in millions):</w:t>
      </w:r>
    </w:p>
    <w:tbl>
      <w:tblPr>
        <w:tblW w:w="10205" w:type="dxa"/>
        <w:jc w:val="left"/>
        <w:tblInd w:w="0" w:type="dxa"/>
        <w:tblLayout w:type="fixed"/>
        <w:tblCellMar>
          <w:top w:w="28" w:type="dxa"/>
          <w:left w:w="28" w:type="dxa"/>
          <w:bottom w:w="28" w:type="dxa"/>
          <w:right w:w="28" w:type="dxa"/>
        </w:tblCellMar>
      </w:tblPr>
      <w:tblGrid>
        <w:gridCol w:w="800"/>
        <w:gridCol w:w="703"/>
        <w:gridCol w:w="705"/>
        <w:gridCol w:w="700"/>
        <w:gridCol w:w="700"/>
        <w:gridCol w:w="703"/>
        <w:gridCol w:w="109"/>
        <w:gridCol w:w="109"/>
        <w:gridCol w:w="109"/>
        <w:gridCol w:w="584"/>
        <w:gridCol w:w="1708"/>
        <w:gridCol w:w="302"/>
        <w:gridCol w:w="109"/>
        <w:gridCol w:w="109"/>
        <w:gridCol w:w="109"/>
        <w:gridCol w:w="566"/>
        <w:gridCol w:w="1658"/>
        <w:gridCol w:w="422"/>
      </w:tblGrid>
      <w:tr>
        <w:trPr/>
        <w:tc>
          <w:tcPr>
            <w:tcW w:w="8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 Acquired in 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 Acquired in fiscal 2026</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30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42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intangibles</w:t>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acquired</w:t>
            </w:r>
          </w:p>
        </w:tc>
        <w:tc>
          <w:tcPr>
            <w:tcW w:w="2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valuation of intangible assets was determined using the income approach methodology. More specifically, the fair values of the customer relationships and the backlog intangibles were estimated using the multi-period excess earnings method, while the trade name was estimated using the relief-from-royalty method. Significant judgments and assumptions used in estimating management’s cash flow projections included projected revenue growth rates, profit margins, discount rates, customer attrition rates and royalty rates among others. The projected future cash flows are discounted to present value using an appropriate discount rate.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Results of the businesses acquired are included in our condensed consolidated financial statements from their respective dates of acquisition and represent the newly formed Building Systems reportable segment. For additional information on our reportable segments, including the results of the Building Systems segment, see Note 20, </w:t>
      </w:r>
      <w:r>
        <w:rPr>
          <w:rFonts w:ascii="Times New Roman;serif" w:hAnsi="Times New Roman;serif"/>
          <w:b w:val="false"/>
          <w:i/>
          <w:color w:val="000000"/>
          <w:sz w:val="20"/>
        </w:rPr>
        <w:t>Segment Reporting</w:t>
      </w:r>
      <w:r>
        <w:rPr>
          <w:rFonts w:ascii="Times New Roman;serif" w:hAnsi="Times New Roman;serif"/>
          <w:b w:val="false"/>
          <w:color w:val="000000"/>
          <w:sz w:val="2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 forma results for the acquisition completed during fiscal 2027 have been excluded as the impact was not material to the Company’s consolidated financial statements. The following unaudited supplemental pro forma results of operations for the Company, which incorporate the acquisition completed in fiscal 2026, have been provided for illustrative purposes only and may not be indicative of the actual results that would have been achieved by the combined companies for the periods presented or that may be achieved by the combined companies in the future (dollars in thousands).</w:t>
      </w:r>
    </w:p>
    <w:p>
      <w:pPr>
        <w:pStyle w:val="TextBody"/>
        <w:bidi w:val="0"/>
        <w:spacing w:before="0" w:after="0"/>
        <w:ind w:left="0" w:right="0" w:firstLine="360"/>
        <w:jc w:val="left"/>
        <w:rPr/>
      </w:pPr>
      <w:r>
        <w:rPr/>
      </w:r>
    </w:p>
    <w:tbl>
      <w:tblPr>
        <w:tblW w:w="7906" w:type="dxa"/>
        <w:jc w:val="left"/>
        <w:tblInd w:w="0" w:type="dxa"/>
        <w:tblLayout w:type="fixed"/>
        <w:tblCellMar>
          <w:top w:w="28" w:type="dxa"/>
          <w:left w:w="28" w:type="dxa"/>
          <w:bottom w:w="28" w:type="dxa"/>
          <w:right w:w="28" w:type="dxa"/>
        </w:tblCellMar>
      </w:tblPr>
      <w:tblGrid>
        <w:gridCol w:w="575"/>
        <w:gridCol w:w="507"/>
        <w:gridCol w:w="508"/>
        <w:gridCol w:w="219"/>
        <w:gridCol w:w="1017"/>
        <w:gridCol w:w="113"/>
        <w:gridCol w:w="109"/>
        <w:gridCol w:w="109"/>
        <w:gridCol w:w="109"/>
        <w:gridCol w:w="211"/>
        <w:gridCol w:w="976"/>
        <w:gridCol w:w="109"/>
        <w:gridCol w:w="109"/>
        <w:gridCol w:w="109"/>
        <w:gridCol w:w="109"/>
        <w:gridCol w:w="219"/>
        <w:gridCol w:w="1017"/>
        <w:gridCol w:w="113"/>
        <w:gridCol w:w="109"/>
        <w:gridCol w:w="109"/>
        <w:gridCol w:w="109"/>
        <w:gridCol w:w="211"/>
        <w:gridCol w:w="97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2,005,907 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1,644,536 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3,970,689 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3,121,070 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 forma combined results of operations for the three and six months ended July 26, 2025 were prepared by adjusting the historical results of Dycom to include the historical results of the business acquired in fiscal 2026 as if such acquisition had occurred at the beginning of fiscal 2025. These pro forma combined historical results were adjusted for the following: an increase in interest and other financing expenses as a result of the debt incurred by Dycom for the purpose of financing the acquisition of Power Solutions and cash consideration paid for the acquired business and an increase in amortization expense due to the intangible assets recorded. The pro forma combined results of operations do not include any adjustments to eliminate the impact of acquisition-related costs incurred by Dycom or the acquired business or any cost savings or other synergies that resulted or may result from the acquisitions.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6. Accounts Receivable, Contract Assets, and Contract Liabilities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provides further details on the balance sheet accounts of accounts receivable, net; contract assets; and contract liabilities.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net, classified as current, consisted of the following (dollars in thousands):</w:t>
      </w:r>
    </w:p>
    <w:tbl>
      <w:tblPr>
        <w:tblW w:w="6024" w:type="dxa"/>
        <w:jc w:val="left"/>
        <w:tblInd w:w="0" w:type="dxa"/>
        <w:tblLayout w:type="fixed"/>
        <w:tblCellMar>
          <w:top w:w="28" w:type="dxa"/>
          <w:left w:w="28" w:type="dxa"/>
          <w:bottom w:w="28" w:type="dxa"/>
          <w:right w:w="28" w:type="dxa"/>
        </w:tblCellMar>
      </w:tblPr>
      <w:tblGrid>
        <w:gridCol w:w="983"/>
        <w:gridCol w:w="863"/>
        <w:gridCol w:w="868"/>
        <w:gridCol w:w="219"/>
        <w:gridCol w:w="1017"/>
        <w:gridCol w:w="113"/>
        <w:gridCol w:w="109"/>
        <w:gridCol w:w="109"/>
        <w:gridCol w:w="109"/>
        <w:gridCol w:w="257"/>
        <w:gridCol w:w="1190"/>
        <w:gridCol w:w="187"/>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1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787,491 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699,904 </w:t>
            </w:r>
          </w:p>
        </w:tc>
        <w:tc>
          <w:tcPr>
            <w:tcW w:w="18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1,334,390 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2,281,043 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1,699,589 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2,277,804 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1,696,973 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an allowance for estimated losses on uncollected balances. The allowance for credit losses changed as follows (dollars in thousands):</w:t>
      </w:r>
    </w:p>
    <w:tbl>
      <w:tblPr>
        <w:tblW w:w="10205" w:type="dxa"/>
        <w:jc w:val="left"/>
        <w:tblInd w:w="0" w:type="dxa"/>
        <w:tblLayout w:type="fixed"/>
        <w:tblCellMar>
          <w:top w:w="28" w:type="dxa"/>
          <w:left w:w="28" w:type="dxa"/>
          <w:bottom w:w="28" w:type="dxa"/>
          <w:right w:w="28" w:type="dxa"/>
        </w:tblCellMar>
      </w:tblPr>
      <w:tblGrid>
        <w:gridCol w:w="1511"/>
        <w:gridCol w:w="1325"/>
        <w:gridCol w:w="1334"/>
        <w:gridCol w:w="289"/>
        <w:gridCol w:w="845"/>
        <w:gridCol w:w="148"/>
        <w:gridCol w:w="122"/>
        <w:gridCol w:w="122"/>
        <w:gridCol w:w="122"/>
        <w:gridCol w:w="269"/>
        <w:gridCol w:w="787"/>
        <w:gridCol w:w="138"/>
        <w:gridCol w:w="109"/>
        <w:gridCol w:w="109"/>
        <w:gridCol w:w="109"/>
        <w:gridCol w:w="289"/>
        <w:gridCol w:w="845"/>
        <w:gridCol w:w="148"/>
        <w:gridCol w:w="112"/>
        <w:gridCol w:w="112"/>
        <w:gridCol w:w="112"/>
        <w:gridCol w:w="266"/>
        <w:gridCol w:w="779"/>
        <w:gridCol w:w="203"/>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beginning of period</w:t>
            </w:r>
          </w:p>
        </w:tc>
        <w:tc>
          <w:tcPr>
            <w:tcW w:w="2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3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0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charged against the allowance, net of recoveries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end of period</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Contract Assets and Contract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contract (liabilities) assets consisted of the following (dollars in thousands):</w:t>
      </w:r>
    </w:p>
    <w:tbl>
      <w:tblPr>
        <w:tblW w:w="5935" w:type="dxa"/>
        <w:jc w:val="left"/>
        <w:tblInd w:w="0" w:type="dxa"/>
        <w:tblLayout w:type="fixed"/>
        <w:tblCellMar>
          <w:top w:w="28" w:type="dxa"/>
          <w:left w:w="28" w:type="dxa"/>
          <w:bottom w:w="28" w:type="dxa"/>
          <w:right w:w="28" w:type="dxa"/>
        </w:tblCellMar>
      </w:tblPr>
      <w:tblGrid>
        <w:gridCol w:w="950"/>
        <w:gridCol w:w="835"/>
        <w:gridCol w:w="840"/>
        <w:gridCol w:w="248"/>
        <w:gridCol w:w="973"/>
        <w:gridCol w:w="128"/>
        <w:gridCol w:w="109"/>
        <w:gridCol w:w="109"/>
        <w:gridCol w:w="109"/>
        <w:gridCol w:w="289"/>
        <w:gridCol w:w="1134"/>
        <w:gridCol w:w="211"/>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221,211 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162,327 </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assets, net</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change</w:t>
      </w:r>
      <w:r>
        <w:rPr>
          <w:color w:val="000000"/>
        </w:rPr>
        <w:t xml:space="preserve"> </w:t>
      </w:r>
      <w:r>
        <w:rPr>
          <w:rFonts w:ascii="Times New Roman;serif" w:hAnsi="Times New Roman;serif"/>
          <w:b w:val="false"/>
          <w:color w:val="000000"/>
          <w:sz w:val="20"/>
        </w:rPr>
        <w:t xml:space="preserve">in contract (liabilities) assets, net, primarily resulted from up-front or advance billings to our customers for construction projects which are in progress, as well as increased billings, net of payments made, under contracts consisting of multiple tasks and the addition of balances from the acquisition completed during fiscal 2027. During the three and six months ended August 1, 2026, we performed services and recognized $22.7 million and $145.4 million of contract revenues related to contract liabilities that existed at January 31, 2026.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Customer Credit Concentration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Customers whose combined amounts of accounts receivable and contract assets, net, exceeded 10% of total combined accounts receivable and contract assets, net as of August 1, 2026 or January 31, 2026 were as follows (dollars in millions): </w:t>
      </w:r>
    </w:p>
    <w:p>
      <w:pPr>
        <w:pStyle w:val="TextBody"/>
        <w:bidi w:val="0"/>
        <w:spacing w:before="0" w:after="0"/>
        <w:ind w:left="0" w:right="0" w:firstLine="360"/>
        <w:jc w:val="left"/>
        <w:rPr/>
      </w:pPr>
      <w:r>
        <w:rPr/>
      </w:r>
    </w:p>
    <w:tbl>
      <w:tblPr>
        <w:tblW w:w="7742" w:type="dxa"/>
        <w:jc w:val="left"/>
        <w:tblInd w:w="0" w:type="dxa"/>
        <w:tblLayout w:type="fixed"/>
        <w:tblCellMar>
          <w:top w:w="28" w:type="dxa"/>
          <w:left w:w="28" w:type="dxa"/>
          <w:bottom w:w="28" w:type="dxa"/>
          <w:right w:w="28" w:type="dxa"/>
        </w:tblCellMar>
      </w:tblPr>
      <w:tblGrid>
        <w:gridCol w:w="1012"/>
        <w:gridCol w:w="889"/>
        <w:gridCol w:w="904"/>
        <w:gridCol w:w="211"/>
        <w:gridCol w:w="616"/>
        <w:gridCol w:w="109"/>
        <w:gridCol w:w="109"/>
        <w:gridCol w:w="109"/>
        <w:gridCol w:w="109"/>
        <w:gridCol w:w="339"/>
        <w:gridCol w:w="339"/>
        <w:gridCol w:w="341"/>
        <w:gridCol w:w="109"/>
        <w:gridCol w:w="109"/>
        <w:gridCol w:w="109"/>
        <w:gridCol w:w="211"/>
        <w:gridCol w:w="616"/>
        <w:gridCol w:w="109"/>
        <w:gridCol w:w="109"/>
        <w:gridCol w:w="109"/>
        <w:gridCol w:w="109"/>
        <w:gridCol w:w="311"/>
        <w:gridCol w:w="311"/>
        <w:gridCol w:w="443"/>
      </w:tblGrid>
      <w:tr>
        <w:trPr/>
        <w:tc>
          <w:tcPr>
            <w:tcW w:w="10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AT&amp;T Inc.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Charter Communications,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Lumen Technologies, Inc.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Verizon Communications, Inc.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On February 2, 2026, AT&amp;T Inc. completed its acquisition of substantially all of the mass markets fiber business from Lumen Technologies, Inc. As a result, amounts reported for AT&amp;T Inc. in the current fiscal year include amounts for the mass markets fiber business to the extent they have transferred from Lumen Technologies, Inc. Since this transaction occurred subsequent to fiscal 2026, amounts for the mass markets fiber business continue to be reported under Lumen Technologies Inc. in the prior fiscal year.</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On January 20, 2026, Verizon Communications, Inc. completed its acquisition of Frontier Communications Corporation. As a result, amounts reported for Verizon Communications, Inc. include the respective balances for Frontier Communications Corporation retrospectively for all periods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none of our significant customers were experiencing financial difficulties that would materially impact the collectability of our total accounts receivable and contract assets, net, as of August 1, 2026 or January 31, 2026.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7. Other Current Assets and Other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(dollars in thousands):</w:t>
      </w:r>
    </w:p>
    <w:tbl>
      <w:tblPr>
        <w:tblW w:w="6069" w:type="dxa"/>
        <w:jc w:val="left"/>
        <w:tblInd w:w="0" w:type="dxa"/>
        <w:tblLayout w:type="fixed"/>
        <w:tblCellMar>
          <w:top w:w="28" w:type="dxa"/>
          <w:left w:w="28" w:type="dxa"/>
          <w:bottom w:w="28" w:type="dxa"/>
          <w:right w:w="28" w:type="dxa"/>
        </w:tblCellMar>
      </w:tblPr>
      <w:tblGrid>
        <w:gridCol w:w="1000"/>
        <w:gridCol w:w="876"/>
        <w:gridCol w:w="883"/>
        <w:gridCol w:w="273"/>
        <w:gridCol w:w="935"/>
        <w:gridCol w:w="141"/>
        <w:gridCol w:w="109"/>
        <w:gridCol w:w="109"/>
        <w:gridCol w:w="109"/>
        <w:gridCol w:w="317"/>
        <w:gridCol w:w="1086"/>
        <w:gridCol w:w="231"/>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38,354 </w:t>
            </w:r>
          </w:p>
        </w:tc>
        <w:tc>
          <w:tcPr>
            <w:tcW w:w="1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current assets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on equipment sales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51,483 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40,212 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 (dollars in thousands):</w:t>
      </w:r>
    </w:p>
    <w:tbl>
      <w:tblPr>
        <w:tblW w:w="8395" w:type="dxa"/>
        <w:jc w:val="left"/>
        <w:tblInd w:w="0" w:type="dxa"/>
        <w:tblLayout w:type="fixed"/>
        <w:tblCellMar>
          <w:top w:w="28" w:type="dxa"/>
          <w:left w:w="28" w:type="dxa"/>
          <w:bottom w:w="28" w:type="dxa"/>
          <w:right w:w="28" w:type="dxa"/>
        </w:tblCellMar>
      </w:tblPr>
      <w:tblGrid>
        <w:gridCol w:w="1842"/>
        <w:gridCol w:w="1618"/>
        <w:gridCol w:w="1625"/>
        <w:gridCol w:w="248"/>
        <w:gridCol w:w="973"/>
        <w:gridCol w:w="128"/>
        <w:gridCol w:w="109"/>
        <w:gridCol w:w="109"/>
        <w:gridCol w:w="109"/>
        <w:gridCol w:w="289"/>
        <w:gridCol w:w="1134"/>
        <w:gridCol w:w="211"/>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cloud computing implementation costs</w:t>
            </w:r>
          </w:p>
        </w:tc>
        <w:tc>
          <w:tcPr>
            <w:tcW w:w="134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61,678 </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recoveries/receivables for accrued insurance claims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Amortization of capitalized cloud computing implementation costs that are included in general and administrative expense was $1.1 million and $0.3 million for the three months ended August 1, 2026 and July 26, 2025, respectively, and $2.1 million and $0.7 million for the six months ended August 1, 2026 and July 26, 2025, respectively. See Note 11, </w:t>
      </w:r>
      <w:r>
        <w:rPr>
          <w:rFonts w:ascii="Times New Roman;serif" w:hAnsi="Times New Roman;serif"/>
          <w:b w:val="false"/>
          <w:i/>
          <w:color w:val="000000"/>
          <w:sz w:val="20"/>
        </w:rPr>
        <w:t>Accrued Insurance Claims</w:t>
      </w:r>
      <w:r>
        <w:rPr>
          <w:rFonts w:ascii="Times New Roman;serif" w:hAnsi="Times New Roman;serif"/>
          <w:b w:val="false"/>
          <w:color w:val="000000"/>
          <w:sz w:val="20"/>
        </w:rPr>
        <w:t>, for information on our Insurance recoveries/receivables.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8. Cash and Equivalents and Restricted Cash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of cash and equivalents and restricted cash reported in the condensed consolidated statement of cash flows consisted of the following (dollars in thousands):</w:t>
      </w:r>
    </w:p>
    <w:tbl>
      <w:tblPr>
        <w:tblW w:w="6714" w:type="dxa"/>
        <w:jc w:val="left"/>
        <w:tblInd w:w="0" w:type="dxa"/>
        <w:tblLayout w:type="fixed"/>
        <w:tblCellMar>
          <w:top w:w="28" w:type="dxa"/>
          <w:left w:w="28" w:type="dxa"/>
          <w:bottom w:w="28" w:type="dxa"/>
          <w:right w:w="28" w:type="dxa"/>
        </w:tblCellMar>
      </w:tblPr>
      <w:tblGrid>
        <w:gridCol w:w="1232"/>
        <w:gridCol w:w="1082"/>
        <w:gridCol w:w="1090"/>
        <w:gridCol w:w="248"/>
        <w:gridCol w:w="973"/>
        <w:gridCol w:w="128"/>
        <w:gridCol w:w="109"/>
        <w:gridCol w:w="109"/>
        <w:gridCol w:w="109"/>
        <w:gridCol w:w="289"/>
        <w:gridCol w:w="1134"/>
        <w:gridCol w:w="211"/>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340,080 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709,165 </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(long-term)</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 and restricted cash</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341,784 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710,869 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9. Property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0"/>
        <w:gridCol w:w="1314"/>
        <w:gridCol w:w="1338"/>
        <w:gridCol w:w="829"/>
        <w:gridCol w:w="829"/>
        <w:gridCol w:w="832"/>
        <w:gridCol w:w="109"/>
        <w:gridCol w:w="109"/>
        <w:gridCol w:w="109"/>
        <w:gridCol w:w="243"/>
        <w:gridCol w:w="955"/>
        <w:gridCol w:w="125"/>
        <w:gridCol w:w="109"/>
        <w:gridCol w:w="109"/>
        <w:gridCol w:w="109"/>
        <w:gridCol w:w="279"/>
        <w:gridCol w:w="1097"/>
        <w:gridCol w:w="210"/>
      </w:tblGrid>
      <w:tr>
        <w:trPr/>
        <w:tc>
          <w:tcPr>
            <w:tcW w:w="150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49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11,809 </w:t>
            </w:r>
          </w:p>
        </w:tc>
        <w:tc>
          <w:tcPr>
            <w:tcW w:w="12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21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machinery</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assets and lease financing transactions</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1,809,055 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1,687,854 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(1,195,462)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(1,112,478)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613,593 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575,376 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Depreciation expense was $55.2 million and $48.9 million for the three months ended August 1, 2026 and July 26, 2025, respectively and $108.5 million and $95.3 million for the six months ended August 1, 2026 and July 26, 2025. See Note 12,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for information on our finance leases.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10. Goodwill and Intangible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The Company’s goodwill balance was $1,598.9 million and $1,443.4 million as of August 1, 2026 and January 31, 2026, respectively. Changes in the carrying amount of goodwill </w:t>
      </w:r>
      <w:r>
        <w:rPr>
          <w:rFonts w:ascii="Times New Roman;serif" w:hAnsi="Times New Roman;serif"/>
          <w:b w:val="false"/>
          <w:color w:val="000000"/>
          <w:sz w:val="20"/>
          <w:shd w:fill="FFFFFF" w:val="clear"/>
        </w:rPr>
        <w:t xml:space="preserve">consisted of the following </w:t>
      </w:r>
      <w:r>
        <w:rPr>
          <w:rFonts w:ascii="Times New Roman;serif" w:hAnsi="Times New Roman;serif"/>
          <w:b w:val="false"/>
          <w:color w:val="000000"/>
          <w:sz w:val="20"/>
        </w:rPr>
        <w:t>(dollars in thousands):</w:t>
      </w:r>
    </w:p>
    <w:tbl>
      <w:tblPr>
        <w:tblW w:w="9255" w:type="dxa"/>
        <w:jc w:val="left"/>
        <w:tblInd w:w="0" w:type="dxa"/>
        <w:tblLayout w:type="fixed"/>
        <w:tblCellMar>
          <w:top w:w="28" w:type="dxa"/>
          <w:left w:w="28" w:type="dxa"/>
          <w:bottom w:w="28" w:type="dxa"/>
          <w:right w:w="28" w:type="dxa"/>
        </w:tblCellMar>
      </w:tblPr>
      <w:tblGrid>
        <w:gridCol w:w="1505"/>
        <w:gridCol w:w="1319"/>
        <w:gridCol w:w="1330"/>
        <w:gridCol w:w="284"/>
        <w:gridCol w:w="1114"/>
        <w:gridCol w:w="148"/>
        <w:gridCol w:w="109"/>
        <w:gridCol w:w="109"/>
        <w:gridCol w:w="109"/>
        <w:gridCol w:w="254"/>
        <w:gridCol w:w="1175"/>
        <w:gridCol w:w="131"/>
        <w:gridCol w:w="109"/>
        <w:gridCol w:w="109"/>
        <w:gridCol w:w="109"/>
        <w:gridCol w:w="211"/>
        <w:gridCol w:w="97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31, 2026</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332,645 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1,110,790 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1,443,435 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adjustment from fiscal 2026 acquisition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from fiscal 2027 acquisition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August 1, 2026</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332,645 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1,266,301 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1,598,946 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goodwill balance as of August 1, 2026 and January 31, 2026 includes $249.0 million of accumulated impairment charges all of which relate to the Communications segment.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goodwill resides in multiple reporting units and primarily consists of expected synergies, together with the expansion of our geographic presence and service offerings, and the strengthening and expansion of our customer base from acquisitions. The profitability of individual reporting units may suffer periodically due to downturns in customer demand, increased costs of providing services, and the level of overall economic activity. Our customers may reduce capital expenditures and defer or cancel pending projects due to changes in technology, a slowing or uncertain economy, merger or acquisition activity, a decision to allocate resources to other areas of their business, or other reasons. The profitability of reporting units may also suffer if actual costs of providing services exceed the costs anticipated when the Company enters into contracts.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Company performs its annual goodwill assessment as of the first day of the fourth fiscal quarter of each fiscal year. As a result of the Company’s fiscal 2026 period assessment, the Company determined that the fair values of each of the reporting units and the indefinite-lived intangible asset were in excess of their carrying values and no impairment had occurred. As of August 1, 2026, we believe the carrying amounts of goodwill and the indefinite-lived intangible asset are recoverable for all of our reporting units</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intangible assets consisted of the following (dollars in thousands):</w:t>
      </w:r>
    </w:p>
    <w:tbl>
      <w:tblPr>
        <w:tblW w:w="11635" w:type="dxa"/>
        <w:jc w:val="left"/>
        <w:tblInd w:w="0" w:type="dxa"/>
        <w:tblLayout w:type="fixed"/>
        <w:tblCellMar>
          <w:top w:w="28" w:type="dxa"/>
          <w:left w:w="28" w:type="dxa"/>
          <w:bottom w:w="28" w:type="dxa"/>
          <w:right w:w="28" w:type="dxa"/>
        </w:tblCellMar>
      </w:tblPr>
      <w:tblGrid>
        <w:gridCol w:w="469"/>
        <w:gridCol w:w="373"/>
        <w:gridCol w:w="374"/>
        <w:gridCol w:w="345"/>
        <w:gridCol w:w="345"/>
        <w:gridCol w:w="346"/>
        <w:gridCol w:w="109"/>
        <w:gridCol w:w="109"/>
        <w:gridCol w:w="109"/>
        <w:gridCol w:w="211"/>
        <w:gridCol w:w="976"/>
        <w:gridCol w:w="109"/>
        <w:gridCol w:w="109"/>
        <w:gridCol w:w="109"/>
        <w:gridCol w:w="109"/>
        <w:gridCol w:w="229"/>
        <w:gridCol w:w="898"/>
        <w:gridCol w:w="119"/>
        <w:gridCol w:w="109"/>
        <w:gridCol w:w="109"/>
        <w:gridCol w:w="109"/>
        <w:gridCol w:w="211"/>
        <w:gridCol w:w="826"/>
        <w:gridCol w:w="109"/>
        <w:gridCol w:w="109"/>
        <w:gridCol w:w="109"/>
        <w:gridCol w:w="109"/>
        <w:gridCol w:w="211"/>
        <w:gridCol w:w="976"/>
        <w:gridCol w:w="109"/>
        <w:gridCol w:w="109"/>
        <w:gridCol w:w="109"/>
        <w:gridCol w:w="109"/>
        <w:gridCol w:w="229"/>
        <w:gridCol w:w="898"/>
        <w:gridCol w:w="119"/>
        <w:gridCol w:w="109"/>
        <w:gridCol w:w="109"/>
        <w:gridCol w:w="109"/>
        <w:gridCol w:w="211"/>
        <w:gridCol w:w="82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Useful Lives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 Net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1,121,217 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356,215 </w:t>
            </w:r>
          </w:p>
        </w:tc>
        <w:tc>
          <w:tcPr>
            <w:tcW w:w="11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765,002 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1,032,417 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306,094 </w:t>
            </w:r>
          </w:p>
        </w:tc>
        <w:tc>
          <w:tcPr>
            <w:tcW w:w="11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726,323 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finite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 indefinite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476,983 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358,224 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of our customer relationship intangibles and our backlog intangibles are recognized on an accelerated basis as a function of the expected economic benefit. Amortization of our other finite-lived intangibles is recognized on a straight-line basis over the estimated useful life. Amortization expense for finite-lived intangible assets was $60.5 million and $11.9 million for the three months ended August 1, 2026 and July 26, 2025, respectively, and $118.8 million and $23.9 million for the six months ended August 1, 2026 and July 26, 2025,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1, 2026, total amortization expense for existing finite-lived intangible assets for the next five fiscal years and thereafter is as follows (dollars in thousands):</w:t>
      </w:r>
    </w:p>
    <w:tbl>
      <w:tblPr>
        <w:tblW w:w="3198"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119,742 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1, 2026, we believe that the carrying amounts of our intangible assets are recoverable. However, if adverse events were to occur or circumstances were to change indicating that the carrying amount of such assets may not be fully recoverable, the assets would be reviewed for impairment and the assets could be impaired.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11. Accrued Insurance Claims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claims within our insurance program, we retain the risk of loss, up to certain annual stop-loss limits, for matters related to automobile liability, general liability (including damages associated with underground facility locating services), workers’ compensation, and employee group health. Losses for claims beyond our retained risk of loss are covered by insurance up to our coverage limits. As of June 2026, losses for Power Solutions, in our Building Systems segment, are included in our insurance program. National Technology Integrators, in our Building Systems segment, is fully insured for these risks through third-party insurance policies, and we do not retain the risk of loss for claims related to those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workers’ compensation losses during fiscal 2027 and 2026, we retained the risk of loss up to $1.0 million on a per occurrence basis. This retention amount is applicable to all of the states in which we operate, except with respect to workers’ compensation insurance in two states in which we participate in state-sponsored insurance funds.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automobile liability and general liability losses during fiscal 2027 and 2026, we retained the risk of loss up to $2.0 million on a per-occurrence basis for the first $5.0 million of insurance coverage. We also retained the risk of loss for the next $5.0 million on a per-occurrence basis for losses between $5.0 million and $10.0 million, if any.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 stop-loss agreement for losses under our employee group health plan. For calendar year 2026, we retain the risk of loss on an annual basis, up to the first $750,000 of claims per participant.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for total accrued insurance claims and insurance recoveries/receivables are as follows (dollars in thousands):</w:t>
      </w:r>
    </w:p>
    <w:p>
      <w:pPr>
        <w:pStyle w:val="TextBody"/>
        <w:bidi w:val="0"/>
        <w:spacing w:before="0" w:after="0"/>
        <w:jc w:val="left"/>
        <w:rPr/>
      </w:pPr>
      <w:r>
        <w:rPr/>
      </w:r>
    </w:p>
    <w:tbl>
      <w:tblPr>
        <w:tblW w:w="6595" w:type="dxa"/>
        <w:jc w:val="left"/>
        <w:tblInd w:w="0" w:type="dxa"/>
        <w:tblLayout w:type="fixed"/>
        <w:tblCellMar>
          <w:top w:w="28" w:type="dxa"/>
          <w:left w:w="28" w:type="dxa"/>
          <w:bottom w:w="28" w:type="dxa"/>
          <w:right w:w="28" w:type="dxa"/>
        </w:tblCellMar>
      </w:tblPr>
      <w:tblGrid>
        <w:gridCol w:w="1189"/>
        <w:gridCol w:w="1046"/>
        <w:gridCol w:w="1050"/>
        <w:gridCol w:w="248"/>
        <w:gridCol w:w="973"/>
        <w:gridCol w:w="128"/>
        <w:gridCol w:w="109"/>
        <w:gridCol w:w="109"/>
        <w:gridCol w:w="109"/>
        <w:gridCol w:w="289"/>
        <w:gridCol w:w="1134"/>
        <w:gridCol w:w="211"/>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claims - current</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51,127 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47,594 </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claims - non-current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claims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105,571 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recoveries/receivables:</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(included in Other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recoveries/receivables</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recoveries/receivables represent the amount of accrued insurance claims that are covered by insurance as the amounts exceed the Company’s loss retention. During the six months ended August 1, 2026, total insurance recoveries/receivables increased as a result of additional claims that exceeded our loss retention. Accrued insurance claims increased by a corresponding amount.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12. Leases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lease the majority of our office facilities as well as certain equipment, which are accounted for as operating or finance leases. These leases have remaining terms ranging from less than 1 year to approximately 19 years. Some leases include options to extend the lease for up to 5 years and others include options to terminate.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lease cost recognized in the condensed consolidated statements of operations for the three and six months ended August 1, 2026 and July 26, 2025 (dollars in thousands):</w:t>
      </w:r>
    </w:p>
    <w:tbl>
      <w:tblPr>
        <w:tblW w:w="10205" w:type="dxa"/>
        <w:jc w:val="left"/>
        <w:tblInd w:w="0" w:type="dxa"/>
        <w:tblLayout w:type="fixed"/>
        <w:tblCellMar>
          <w:top w:w="28" w:type="dxa"/>
          <w:left w:w="28" w:type="dxa"/>
          <w:bottom w:w="28" w:type="dxa"/>
          <w:right w:w="28" w:type="dxa"/>
        </w:tblCellMar>
      </w:tblPr>
      <w:tblGrid>
        <w:gridCol w:w="1599"/>
        <w:gridCol w:w="1370"/>
        <w:gridCol w:w="1331"/>
        <w:gridCol w:w="253"/>
        <w:gridCol w:w="868"/>
        <w:gridCol w:w="130"/>
        <w:gridCol w:w="112"/>
        <w:gridCol w:w="112"/>
        <w:gridCol w:w="112"/>
        <w:gridCol w:w="239"/>
        <w:gridCol w:w="818"/>
        <w:gridCol w:w="122"/>
        <w:gridCol w:w="109"/>
        <w:gridCol w:w="109"/>
        <w:gridCol w:w="109"/>
        <w:gridCol w:w="253"/>
        <w:gridCol w:w="868"/>
        <w:gridCol w:w="130"/>
        <w:gridCol w:w="109"/>
        <w:gridCol w:w="109"/>
        <w:gridCol w:w="109"/>
        <w:gridCol w:w="237"/>
        <w:gridCol w:w="814"/>
        <w:gridCol w:w="183"/>
      </w:tblGrid>
      <w:tr>
        <w:trPr/>
        <w:tc>
          <w:tcPr>
            <w:tcW w:w="159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2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assets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under long-term operating leases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under short-term operating leases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 under short-term and long-term operating leases</w:t>
            </w:r>
            <w:r>
              <w:rPr>
                <w:rFonts w:ascii="Times New Roman;serif" w:hAnsi="Times New Roman;serif"/>
                <w:b w:val="false"/>
                <w:color w:val="000000"/>
                <w:sz w:val="13"/>
              </w:rPr>
              <w:t>(1)</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26,248 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17,655 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35,550 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Variable lease cost primarily includes insurance, maintenance, and other operating expenses related to our leased office facilities.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lease liabilities related to long-term operating leases were $228.7 million as of August 1, 2026 and $177.5 million as of January 31, 2026.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weighted average remaining lease terms (other than for short-term leases) and discount rates are as follows:</w:t>
      </w:r>
    </w:p>
    <w:p>
      <w:pPr>
        <w:pStyle w:val="TextBody"/>
        <w:bidi w:val="0"/>
        <w:spacing w:before="0" w:after="0"/>
        <w:jc w:val="left"/>
        <w:rPr/>
      </w:pPr>
      <w:r>
        <w:rPr/>
      </w:r>
    </w:p>
    <w:tbl>
      <w:tblPr>
        <w:tblW w:w="6882" w:type="dxa"/>
        <w:jc w:val="left"/>
        <w:tblInd w:w="0" w:type="dxa"/>
        <w:tblLayout w:type="fixed"/>
        <w:tblCellMar>
          <w:top w:w="28" w:type="dxa"/>
          <w:left w:w="28" w:type="dxa"/>
          <w:bottom w:w="28" w:type="dxa"/>
          <w:right w:w="28" w:type="dxa"/>
        </w:tblCellMar>
      </w:tblPr>
      <w:tblGrid>
        <w:gridCol w:w="1292"/>
        <w:gridCol w:w="1135"/>
        <w:gridCol w:w="1143"/>
        <w:gridCol w:w="301"/>
        <w:gridCol w:w="301"/>
        <w:gridCol w:w="748"/>
        <w:gridCol w:w="109"/>
        <w:gridCol w:w="109"/>
        <w:gridCol w:w="109"/>
        <w:gridCol w:w="332"/>
        <w:gridCol w:w="332"/>
        <w:gridCol w:w="971"/>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135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our lease liabilities for the three and six months ended August 1, 2026 and July 26, 2025 is as follows (dollars in thousands):</w:t>
      </w:r>
    </w:p>
    <w:tbl>
      <w:tblPr>
        <w:tblW w:w="10205" w:type="dxa"/>
        <w:jc w:val="left"/>
        <w:tblInd w:w="0" w:type="dxa"/>
        <w:tblLayout w:type="fixed"/>
        <w:tblCellMar>
          <w:top w:w="28" w:type="dxa"/>
          <w:left w:w="28" w:type="dxa"/>
          <w:bottom w:w="28" w:type="dxa"/>
          <w:right w:w="28" w:type="dxa"/>
        </w:tblCellMar>
      </w:tblPr>
      <w:tblGrid>
        <w:gridCol w:w="1575"/>
        <w:gridCol w:w="1382"/>
        <w:gridCol w:w="1389"/>
        <w:gridCol w:w="250"/>
        <w:gridCol w:w="859"/>
        <w:gridCol w:w="128"/>
        <w:gridCol w:w="112"/>
        <w:gridCol w:w="112"/>
        <w:gridCol w:w="112"/>
        <w:gridCol w:w="237"/>
        <w:gridCol w:w="812"/>
        <w:gridCol w:w="121"/>
        <w:gridCol w:w="109"/>
        <w:gridCol w:w="109"/>
        <w:gridCol w:w="109"/>
        <w:gridCol w:w="250"/>
        <w:gridCol w:w="858"/>
        <w:gridCol w:w="129"/>
        <w:gridCol w:w="109"/>
        <w:gridCol w:w="109"/>
        <w:gridCol w:w="109"/>
        <w:gridCol w:w="236"/>
        <w:gridCol w:w="808"/>
        <w:gridCol w:w="181"/>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23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by operating leases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by finance leases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used by finance leases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assets obtained in exchange for lease liabilities:</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1, 2026, maturities of our lease liabilities under our long-term operating leases and finance leases for the next five fiscal years and thereafter are as follows (dollars in thousands):</w:t>
      </w:r>
    </w:p>
    <w:p>
      <w:pPr>
        <w:pStyle w:val="TextBody"/>
        <w:bidi w:val="0"/>
        <w:spacing w:before="0" w:after="0"/>
        <w:jc w:val="left"/>
        <w:rPr/>
      </w:pPr>
      <w:r>
        <w:rPr/>
      </w:r>
    </w:p>
    <w:tbl>
      <w:tblPr>
        <w:tblW w:w="7202" w:type="dxa"/>
        <w:jc w:val="left"/>
        <w:tblInd w:w="0" w:type="dxa"/>
        <w:tblLayout w:type="fixed"/>
        <w:tblCellMar>
          <w:top w:w="28" w:type="dxa"/>
          <w:left w:w="28" w:type="dxa"/>
          <w:bottom w:w="28" w:type="dxa"/>
          <w:right w:w="28" w:type="dxa"/>
        </w:tblCellMar>
      </w:tblPr>
      <w:tblGrid>
        <w:gridCol w:w="688"/>
        <w:gridCol w:w="607"/>
        <w:gridCol w:w="609"/>
        <w:gridCol w:w="109"/>
        <w:gridCol w:w="109"/>
        <w:gridCol w:w="109"/>
        <w:gridCol w:w="292"/>
        <w:gridCol w:w="1146"/>
        <w:gridCol w:w="151"/>
        <w:gridCol w:w="109"/>
        <w:gridCol w:w="109"/>
        <w:gridCol w:w="109"/>
        <w:gridCol w:w="314"/>
        <w:gridCol w:w="918"/>
        <w:gridCol w:w="162"/>
        <w:gridCol w:w="109"/>
        <w:gridCol w:w="109"/>
        <w:gridCol w:w="109"/>
        <w:gridCol w:w="236"/>
        <w:gridCol w:w="926"/>
        <w:gridCol w:w="172"/>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r>
      <w:tr>
        <w:trPr/>
        <w:tc>
          <w:tcPr>
            <w:tcW w:w="190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26,688 </w:t>
            </w:r>
          </w:p>
        </w:tc>
        <w:tc>
          <w:tcPr>
            <w:tcW w:w="15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6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27,318 </w:t>
            </w:r>
          </w:p>
        </w:tc>
        <w:tc>
          <w:tcPr>
            <w:tcW w:w="17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287,379 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290,276 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228,725 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231,425 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 2026, the Company had additional operating leases with total lease costs of $3.3 million that have not yet commenced. These leases will commence in fiscal 2027. </w:t>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13. Other Accrued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 (dollars in thousands):</w:t>
      </w:r>
    </w:p>
    <w:tbl>
      <w:tblPr>
        <w:tblW w:w="8410" w:type="dxa"/>
        <w:jc w:val="left"/>
        <w:tblInd w:w="0" w:type="dxa"/>
        <w:tblLayout w:type="fixed"/>
        <w:tblCellMar>
          <w:top w:w="28" w:type="dxa"/>
          <w:left w:w="28" w:type="dxa"/>
          <w:bottom w:w="28" w:type="dxa"/>
          <w:right w:w="28" w:type="dxa"/>
        </w:tblCellMar>
      </w:tblPr>
      <w:tblGrid>
        <w:gridCol w:w="1849"/>
        <w:gridCol w:w="1620"/>
        <w:gridCol w:w="1631"/>
        <w:gridCol w:w="248"/>
        <w:gridCol w:w="973"/>
        <w:gridCol w:w="128"/>
        <w:gridCol w:w="109"/>
        <w:gridCol w:w="109"/>
        <w:gridCol w:w="109"/>
        <w:gridCol w:w="289"/>
        <w:gridCol w:w="1134"/>
        <w:gridCol w:w="211"/>
      </w:tblGrid>
      <w:tr>
        <w:trPr/>
        <w:tc>
          <w:tcPr>
            <w:tcW w:w="184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 and incentive plan costs</w:t>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taxes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 costs and other accrued purchase orders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325,454 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14. Debt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carrying value of our outstanding indebtedness (dollars in thousands):</w:t>
      </w:r>
    </w:p>
    <w:tbl>
      <w:tblPr>
        <w:tblW w:w="8874" w:type="dxa"/>
        <w:jc w:val="left"/>
        <w:tblInd w:w="0" w:type="dxa"/>
        <w:tblLayout w:type="fixed"/>
        <w:tblCellMar>
          <w:top w:w="28" w:type="dxa"/>
          <w:left w:w="28" w:type="dxa"/>
          <w:bottom w:w="28" w:type="dxa"/>
          <w:right w:w="28" w:type="dxa"/>
        </w:tblCellMar>
      </w:tblPr>
      <w:tblGrid>
        <w:gridCol w:w="2013"/>
        <w:gridCol w:w="1770"/>
        <w:gridCol w:w="1781"/>
        <w:gridCol w:w="219"/>
        <w:gridCol w:w="1017"/>
        <w:gridCol w:w="113"/>
        <w:gridCol w:w="109"/>
        <w:gridCol w:w="109"/>
        <w:gridCol w:w="109"/>
        <w:gridCol w:w="257"/>
        <w:gridCol w:w="1190"/>
        <w:gridCol w:w="187"/>
      </w:tblGrid>
      <w:tr>
        <w:trPr/>
        <w:tc>
          <w:tcPr>
            <w:tcW w:w="201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 Term Loan A Facility (matures December 2030)</w:t>
            </w:r>
          </w:p>
        </w:tc>
        <w:tc>
          <w:tcPr>
            <w:tcW w:w="21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1,526,966 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1,525,422 </w:t>
            </w:r>
          </w:p>
        </w:tc>
        <w:tc>
          <w:tcPr>
            <w:tcW w:w="18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 Term Loan B Facility (matures January 2033)</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net (mature April 2029)</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2,819,733 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2,814,497 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2,791,336 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2,810,497 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for information on our finance leases.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and certain of its subsidiaries are party to that certain Third Amended and Restated Credit Agreement, dated as of December 23, 2025 (as amended by that certain First Amendment to the Third Amended and Restated Credit Agreement, dated as of January 27, 2026, the “Credit Agreement”) by and among, the Company, the Guarantors (as defined therein) from time to time party thereto, the Lenders (as defined therein) from time to time party thereto and Bank of America, N.A., as administrative and collateral agent (in such capacities, the “Administrative Agent”). The Credit Agreement includes a revolving facility with a maximum revolver commitment of $800.0 million (the “Revolving Credit Facility”), a term loan A facility (the “Term Loan A Facility”) in the original principal amount of $1,540.0 million, and a term loan B facility (the “Term Loan B Facility”) in the original principal amount of $800.0 million. The Credit Agreement also includes a $225.0 million sublimit for the issuance of letters of credit and a $50.0 million sublimit for swingline loans. The maturity of the Revolving Credit Facility and Term Loan A Facility is December 23, 2030. The maturity of the Term Loan B Facility is January 27, 2033.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carrying value of the Term Loan A Facility as of August 1, 2026 and January 31, 2026 (dollars in thousands):</w:t>
      </w:r>
    </w:p>
    <w:tbl>
      <w:tblPr>
        <w:tblW w:w="7309" w:type="dxa"/>
        <w:jc w:val="center"/>
        <w:tblInd w:w="0" w:type="dxa"/>
        <w:tblLayout w:type="fixed"/>
        <w:tblCellMar>
          <w:top w:w="28" w:type="dxa"/>
          <w:left w:w="28" w:type="dxa"/>
          <w:bottom w:w="28" w:type="dxa"/>
          <w:right w:w="28" w:type="dxa"/>
        </w:tblCellMar>
      </w:tblPr>
      <w:tblGrid>
        <w:gridCol w:w="1369"/>
        <w:gridCol w:w="1201"/>
        <w:gridCol w:w="1210"/>
        <w:gridCol w:w="219"/>
        <w:gridCol w:w="1017"/>
        <w:gridCol w:w="113"/>
        <w:gridCol w:w="109"/>
        <w:gridCol w:w="109"/>
        <w:gridCol w:w="109"/>
        <w:gridCol w:w="259"/>
        <w:gridCol w:w="1198"/>
        <w:gridCol w:w="133"/>
        <w:gridCol w:w="109"/>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of Term Loan A Facility</w:t>
            </w:r>
          </w:p>
        </w:tc>
        <w:tc>
          <w:tcPr>
            <w:tcW w:w="21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1,540,000 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1,540,000 </w:t>
            </w:r>
          </w:p>
        </w:tc>
        <w:tc>
          <w:tcPr>
            <w:tcW w:w="13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 of Term Loan A Facility</w:t>
            </w:r>
          </w:p>
        </w:tc>
        <w:tc>
          <w:tcPr>
            <w:tcW w:w="21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1,526,966 </w:t>
            </w:r>
          </w:p>
        </w:tc>
        <w:tc>
          <w:tcPr>
            <w:tcW w:w="11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1,525,422 </w:t>
            </w:r>
          </w:p>
        </w:tc>
        <w:tc>
          <w:tcPr>
            <w:tcW w:w="13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carrying value of the Term Loan B Facility as of August 1, 2026 and January 31, 2026 (dollars in thousands):</w:t>
      </w:r>
    </w:p>
    <w:tbl>
      <w:tblPr>
        <w:tblW w:w="7090" w:type="dxa"/>
        <w:jc w:val="left"/>
        <w:tblInd w:w="0" w:type="dxa"/>
        <w:tblLayout w:type="fixed"/>
        <w:tblCellMar>
          <w:top w:w="28" w:type="dxa"/>
          <w:left w:w="28" w:type="dxa"/>
          <w:bottom w:w="28" w:type="dxa"/>
          <w:right w:w="28" w:type="dxa"/>
        </w:tblCellMar>
      </w:tblPr>
      <w:tblGrid>
        <w:gridCol w:w="1369"/>
        <w:gridCol w:w="1201"/>
        <w:gridCol w:w="1210"/>
        <w:gridCol w:w="248"/>
        <w:gridCol w:w="973"/>
        <w:gridCol w:w="128"/>
        <w:gridCol w:w="109"/>
        <w:gridCol w:w="109"/>
        <w:gridCol w:w="109"/>
        <w:gridCol w:w="289"/>
        <w:gridCol w:w="1134"/>
        <w:gridCol w:w="211"/>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of Term Loan B Facility</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 of Term Loan B Facility</w:t>
            </w:r>
          </w:p>
        </w:tc>
        <w:tc>
          <w:tcPr>
            <w:tcW w:w="24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792,573 </w:t>
            </w:r>
          </w:p>
        </w:tc>
        <w:tc>
          <w:tcPr>
            <w:tcW w:w="12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792,041 </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$927.0 million and (ii) an aggregate amount such that, after giving effect to such incremental facilities on a pro forma basis (assuming that the amount of the incremental commitments are fully drawn and funded), the consolidated senior secured net leverage ratio does not exceed 3.50 to 1.00. The consolidated senior secured net leverage ratio is the ratio (a)(i) of our consolidated senior secured indebtedness reduced by (ii) unrestricted cash and equivalents in excess of $25.0 million to (b) to our trailing four-quarter consolidated earnings before interest, taxes, depreciation, and amortization, as defined by the Credit Agreement (“EBITDA”). Borrowings under the Credit Agreement are guaranteed by substantially all of our domestic subsidiaries and secured by substantially all of the assets of the Borrowers and the Guarantors (subject to customary exceptions).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our Credit Agreement, borrowings bear interest at the rates described below based upon our consolidated net leverage ratio, which is the ratio of (a) our consolidated total funded debt reduced by unrestricted cash and equivalents in excess of $25.0 million to (b) our trailing four-quarter consolidated EBITDA. In addition, we incur certain fees for unused balances and letters of credit at the rates described below, also based upon our consolidated net leverage ratio. The weighted average interest rates and fees for balances under our Credit Agreement as of August 1, 2026 and January 31, 2026 were as follows:</w:t>
      </w:r>
    </w:p>
    <w:p>
      <w:pPr>
        <w:pStyle w:val="TextBody"/>
        <w:bidi w:val="0"/>
        <w:spacing w:before="0" w:after="0"/>
        <w:jc w:val="left"/>
        <w:rPr/>
      </w:pPr>
      <w:r>
        <w:rPr/>
      </w:r>
    </w:p>
    <w:tbl>
      <w:tblPr>
        <w:tblW w:w="9729" w:type="dxa"/>
        <w:jc w:val="left"/>
        <w:tblInd w:w="0" w:type="dxa"/>
        <w:tblLayout w:type="fixed"/>
        <w:tblCellMar>
          <w:top w:w="28" w:type="dxa"/>
          <w:left w:w="28" w:type="dxa"/>
          <w:bottom w:w="28" w:type="dxa"/>
          <w:right w:w="28" w:type="dxa"/>
        </w:tblCellMar>
      </w:tblPr>
      <w:tblGrid>
        <w:gridCol w:w="1043"/>
        <w:gridCol w:w="916"/>
        <w:gridCol w:w="921"/>
        <w:gridCol w:w="929"/>
        <w:gridCol w:w="929"/>
        <w:gridCol w:w="932"/>
        <w:gridCol w:w="450"/>
        <w:gridCol w:w="450"/>
        <w:gridCol w:w="450"/>
        <w:gridCol w:w="358"/>
        <w:gridCol w:w="358"/>
        <w:gridCol w:w="358"/>
        <w:gridCol w:w="479"/>
        <w:gridCol w:w="479"/>
        <w:gridCol w:w="677"/>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Rate End of Period</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10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 Term A SOFR Loans</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1.375% - 2.00% plus Term SOFR</w:t>
            </w:r>
          </w:p>
        </w:tc>
        <w:tc>
          <w:tcPr>
            <w:tcW w:w="135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5.43%</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 Base Rate Loans</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0.375% - 1.00% plus Base rate</w:t>
            </w:r>
            <w:r>
              <w:rPr>
                <w:rFonts w:ascii="Times New Roman;serif" w:hAnsi="Times New Roman;serif"/>
                <w:b w:val="false"/>
                <w:color w:val="000000"/>
                <w:sz w:val="13"/>
              </w:rPr>
              <w:t>(1)</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 Term B SOFR Loans</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1.75% plus Term SOFR</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5.43%</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Revolver Commitment</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0.20% - 0.40%</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Standby Letters of Credit</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1.375% - 2.00%</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Letters of Credit</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0.6875% -1.00%</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Base rate is described in the Credit Agreement as the highest of (i) the Federal Funds Rate plus 0.50%, (ii) the Administrative Agent’s prime rate, and (iii) the Term Secured Overnight Financing Rate (“SOFR”) plus 1.00% and, if such rate is less than zero, such rate shall be deemed zero. “Term SOFR” is the published forward-looking SOFR rate for the applicable interest period and if such rate is less than zero, such rate shall be deemed zero. There were no outstanding borrowings under our revolving facility as of August 1, 2026 and January 31, 2026.</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Standby letters of credit of approximately $53.6 million issued as part of our insurance program, were outstanding under our Credit Agreement as of August 1, 2026 and January 31, 2026.</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Agreement contains a financial covenant that requires us to maintain a maximum consolidated net leverage ratio of not greater than (A) until the last day of the first fiscal quarter ending after the second anniversary of December 23, 2025, 4.50 to 1.00, and (B) thereafter, 4.00:1.00, as measured at the end of each fiscal quarter, and provides for certain increases to this ratio in connection with permitted acquisitions. The agreement also contains a financial covenant that requires us to maintain a minimum consolidated interest coverage ratio, which is the ratio of our trailing four-quarter consolidated EBITDA to our consolidated interest expense, as defined by our Credit Agreement, of not less than 2.50 to 1.00, as measured at the end of each fiscal quarter. At August 1, 2026 and January 31, 2026, we were in compliance with the financial covenants of our Credit Agreement and had borrowing availability under our revolving facility of $746.4 million.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4.50% Senior Notes Due 2029</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 2021, we issued $500.0 million aggregate principal amount of 4.50% senior notes due 2029 (the “2029 Notes”). The 2029 Notes are guaranteed on a senior unsecured basis, jointly and severally, by all of our domestic subsidiaries that guarantee the Credit Agreement.</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carrying value of the 2029 Notes as of August 1, 2026 and January 31, 2026 (dollars in thousands):</w:t>
      </w:r>
    </w:p>
    <w:tbl>
      <w:tblPr>
        <w:tblW w:w="6498" w:type="dxa"/>
        <w:jc w:val="center"/>
        <w:tblInd w:w="0" w:type="dxa"/>
        <w:tblLayout w:type="fixed"/>
        <w:tblCellMar>
          <w:top w:w="28" w:type="dxa"/>
          <w:left w:w="28" w:type="dxa"/>
          <w:bottom w:w="28" w:type="dxa"/>
          <w:right w:w="28" w:type="dxa"/>
        </w:tblCellMar>
      </w:tblPr>
      <w:tblGrid>
        <w:gridCol w:w="1076"/>
        <w:gridCol w:w="944"/>
        <w:gridCol w:w="950"/>
        <w:gridCol w:w="248"/>
        <w:gridCol w:w="973"/>
        <w:gridCol w:w="128"/>
        <w:gridCol w:w="109"/>
        <w:gridCol w:w="109"/>
        <w:gridCol w:w="109"/>
        <w:gridCol w:w="292"/>
        <w:gridCol w:w="1146"/>
        <w:gridCol w:w="151"/>
        <w:gridCol w:w="109"/>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amount of 2029 Notes </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 of 2029 Notes</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497,494 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497,034 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2029 Notes, net of debt issuance costs. The fair value of the 2029 Notes is based on the closing trading price per $100 of the 2029 Notes as of the last day of trading (Level 2), which was $97.07 and $98.44 as of August 1, 2026 and January 31, 2026, respectively (dollars in thousands):</w:t>
      </w:r>
    </w:p>
    <w:p>
      <w:pPr>
        <w:pStyle w:val="TextBody"/>
        <w:bidi w:val="0"/>
        <w:spacing w:before="0" w:after="0"/>
        <w:jc w:val="left"/>
        <w:rPr/>
      </w:pPr>
      <w:r>
        <w:rPr/>
      </w:r>
    </w:p>
    <w:tbl>
      <w:tblPr>
        <w:tblW w:w="7074" w:type="dxa"/>
        <w:jc w:val="center"/>
        <w:tblInd w:w="0" w:type="dxa"/>
        <w:tblLayout w:type="fixed"/>
        <w:tblCellMar>
          <w:top w:w="28" w:type="dxa"/>
          <w:left w:w="28" w:type="dxa"/>
          <w:bottom w:w="28" w:type="dxa"/>
          <w:right w:w="28" w:type="dxa"/>
        </w:tblCellMar>
      </w:tblPr>
      <w:tblGrid>
        <w:gridCol w:w="1363"/>
        <w:gridCol w:w="1196"/>
        <w:gridCol w:w="1205"/>
        <w:gridCol w:w="248"/>
        <w:gridCol w:w="973"/>
        <w:gridCol w:w="128"/>
        <w:gridCol w:w="109"/>
        <w:gridCol w:w="109"/>
        <w:gridCol w:w="109"/>
        <w:gridCol w:w="289"/>
        <w:gridCol w:w="1134"/>
        <w:gridCol w:w="211"/>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principal amount of 2029 Notes</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485,350 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492,200 </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2029 Notes</w:t>
            </w:r>
          </w:p>
        </w:tc>
        <w:tc>
          <w:tcPr>
            <w:tcW w:w="248"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482,844 </w:t>
            </w:r>
          </w:p>
        </w:tc>
        <w:tc>
          <w:tcPr>
            <w:tcW w:w="128"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489,234 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15.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was 24.9% and 25.7% for the three months ended August 1, 2026 and July 26, 2025, respectively and 20.6% and 24.4% for the six months ended August 1, 2026 and July 26, 2025, respectively. The interim income tax provisions are based on the effective income tax rate expected to be applicable for the full fiscal year, adjusted for specific items that are required to be recognized in the period in which they occur. The effective tax rate differs from the statutory rate primarily due to the difference in income tax rates from state to state where work was performed, non-deductible and non-taxable items, tax credits recognized, the tax effects of the vesting and exercise of share-based awards, and changes in unrecognized tax benefits. Deferred tax assets and liabilities are based on the enacted tax rate that will apply in future periods when such assets and liabilities are expected to be settled or realized.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16. Other (Expense) Income, Net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other (expense) income, net, were as follows (dollars in thousands):</w:t>
      </w:r>
    </w:p>
    <w:tbl>
      <w:tblPr>
        <w:tblW w:w="8629" w:type="dxa"/>
        <w:jc w:val="left"/>
        <w:tblInd w:w="0" w:type="dxa"/>
        <w:tblLayout w:type="fixed"/>
        <w:tblCellMar>
          <w:top w:w="28" w:type="dxa"/>
          <w:left w:w="28" w:type="dxa"/>
          <w:bottom w:w="28" w:type="dxa"/>
          <w:right w:w="28" w:type="dxa"/>
        </w:tblCellMar>
      </w:tblPr>
      <w:tblGrid>
        <w:gridCol w:w="863"/>
        <w:gridCol w:w="757"/>
        <w:gridCol w:w="765"/>
        <w:gridCol w:w="304"/>
        <w:gridCol w:w="890"/>
        <w:gridCol w:w="156"/>
        <w:gridCol w:w="119"/>
        <w:gridCol w:w="119"/>
        <w:gridCol w:w="119"/>
        <w:gridCol w:w="252"/>
        <w:gridCol w:w="863"/>
        <w:gridCol w:w="129"/>
        <w:gridCol w:w="109"/>
        <w:gridCol w:w="109"/>
        <w:gridCol w:w="109"/>
        <w:gridCol w:w="281"/>
        <w:gridCol w:w="923"/>
        <w:gridCol w:w="145"/>
        <w:gridCol w:w="109"/>
        <w:gridCol w:w="109"/>
        <w:gridCol w:w="109"/>
        <w:gridCol w:w="250"/>
        <w:gridCol w:w="857"/>
        <w:gridCol w:w="183"/>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fixed assets</w:t>
            </w:r>
          </w:p>
        </w:tc>
        <w:tc>
          <w:tcPr>
            <w:tcW w:w="30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2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19,875 </w:t>
            </w:r>
          </w:p>
        </w:tc>
        <w:tc>
          <w:tcPr>
            <w:tcW w:w="18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expense, net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participates in programs to sell certain eligible accounts receivable and payment is received pursuant to a non-recourse sale to a bank partner. These programs effectively reduce the time to collect these receivables as compared to our customers’ standard payment terms. We incur a discount fee to the bank on the payments received that is included as an expense component in miscellaneous expense, net, in the table above.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17. Capital Stock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Repurchases of Common Stock. </w:t>
      </w:r>
      <w:r>
        <w:rPr>
          <w:rFonts w:ascii="Times New Roman;serif" w:hAnsi="Times New Roman;serif"/>
          <w:b w:val="false"/>
          <w:color w:val="000000"/>
          <w:sz w:val="20"/>
        </w:rPr>
        <w:t>On February 26, 2025, the Company announced that its Board of Directors authorized a new $150 million program to repurchase shares of the Company’s outstanding common stock through August 25, 2026 in open market or private transactions. During the three months ended May 2, 2026, the Company repurchased 100,000 shares of common stock, at an average price of $359.63, for $36.0 million. There were no share repurchases during the three months ended August 1, 2026. As of August 1, 2026, $83.9 million of the authorization was available for repurchases.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Restricted Stock Tax Withholdings.</w:t>
      </w:r>
      <w:r>
        <w:rPr>
          <w:color w:val="000000"/>
        </w:rPr>
        <w:t xml:space="preserve"> </w:t>
      </w:r>
      <w:r>
        <w:rPr>
          <w:rFonts w:ascii="Times New Roman;serif" w:hAnsi="Times New Roman;serif"/>
          <w:b w:val="false"/>
          <w:color w:val="000000"/>
          <w:sz w:val="20"/>
        </w:rPr>
        <w:t>During the six months ended August 1, 2026 and July 26, 2025, we withheld 85,783 shares totaling $29.4 million and 84,296 shares totaling $13.0 million, respectively, to meet payroll tax withholding obligations arising from the vesting of restricted share units. All shares withheld have been cancelled. Shares of common stock withheld for tax withholdings do not reduce our total share repurchase authority.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Upon cancellation of shares repurchased or withheld for tax withholdings, the excess over par value is recorded as a reduction of additional paid-in capital until the balance is reduced to zero, with any additional excess recorded as a reduction of retained earnings.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Issuance of Common Stock for Acquisition. </w:t>
      </w:r>
      <w:r>
        <w:rPr>
          <w:rFonts w:ascii="Times New Roman;serif" w:hAnsi="Times New Roman;serif"/>
          <w:b w:val="false"/>
          <w:color w:val="000000"/>
          <w:sz w:val="20"/>
        </w:rPr>
        <w:t>In connection with the acquisition of National Technology Integrators on July 2, 2026, the Company issued 95,550 shares of Dycom common stock to the sellers valued at $45.0 million, as partial consideration for the purchase. These shares were issued in a private placement exempt from registration under the Securities Act of 1933.</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18. Stock-Based Awards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certain stock-based compensation plans under which we grant stock-based awards, including common stock, stock options, time-based restricted share units (“RSUs”), and performance-based restricted share units (“Performance RSUs”) to attract, retain, and reward talented employees, officers, and directors, and to align stockholder and employee interests.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Compensation expense for stock-based awards is based on fair value at the measurement date. This expense fluctuates over time as a function of the duration of vesting periods of the stock-based awards and the Company’s performance, as measured by criteria set forth in performance-based awards. Stock-based compensation expense is included in general and administrative expenses in the condensed consolidated statements of operations and the amount of expense ultimately recognized depends on the quantity of awards that actually vest. Accordingly, stock-based compensation expense may vary from period to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performance criteria for the Company’s performance-based equity awards utilize the Company’s operating earnings (adjusted for certain amounts) as a percentage of contract revenues for the applicable annual period (a “Performance Year”) and its Performance Year operating cash flow level (adjusted for certain amounts). Additionally, certain awards include three-year performance measures that, if met, result in supplemental shares awarded. For Performance RSUs, the Company evaluates compensation expense quarterly and recognizes expense for performance-based awards only if it determines it is probable that performance criteria for the awards will be met.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the related tax benefit recognized during the three and six months ended August 1, 2026 and July 26, 2025 were as follows (dollars in thousands):</w:t>
      </w:r>
    </w:p>
    <w:tbl>
      <w:tblPr>
        <w:tblW w:w="10157" w:type="dxa"/>
        <w:jc w:val="left"/>
        <w:tblInd w:w="0" w:type="dxa"/>
        <w:tblLayout w:type="fixed"/>
        <w:tblCellMar>
          <w:top w:w="28" w:type="dxa"/>
          <w:left w:w="28" w:type="dxa"/>
          <w:bottom w:w="28" w:type="dxa"/>
          <w:right w:w="28" w:type="dxa"/>
        </w:tblCellMar>
      </w:tblPr>
      <w:tblGrid>
        <w:gridCol w:w="1419"/>
        <w:gridCol w:w="1245"/>
        <w:gridCol w:w="1250"/>
        <w:gridCol w:w="273"/>
        <w:gridCol w:w="936"/>
        <w:gridCol w:w="140"/>
        <w:gridCol w:w="119"/>
        <w:gridCol w:w="119"/>
        <w:gridCol w:w="119"/>
        <w:gridCol w:w="280"/>
        <w:gridCol w:w="820"/>
        <w:gridCol w:w="144"/>
        <w:gridCol w:w="109"/>
        <w:gridCol w:w="109"/>
        <w:gridCol w:w="109"/>
        <w:gridCol w:w="273"/>
        <w:gridCol w:w="935"/>
        <w:gridCol w:w="141"/>
        <w:gridCol w:w="109"/>
        <w:gridCol w:w="109"/>
        <w:gridCol w:w="109"/>
        <w:gridCol w:w="250"/>
        <w:gridCol w:w="857"/>
        <w:gridCol w:w="183"/>
      </w:tblGrid>
      <w:tr>
        <w:trPr/>
        <w:tc>
          <w:tcPr>
            <w:tcW w:w="141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14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20,862 </w:t>
            </w:r>
          </w:p>
        </w:tc>
        <w:tc>
          <w:tcPr>
            <w:tcW w:w="14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17,199 </w:t>
            </w:r>
          </w:p>
        </w:tc>
        <w:tc>
          <w:tcPr>
            <w:tcW w:w="18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stock-based compensation</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August 1, 2026 and July 26, 2025, the Company realized $3.6 million and $0.6 million of net excess tax benefits, respectively, related to the vesting and exercise of share-based awards. During the six months ended August 1, 2026 and July 26, 2025, the Company realized approximately $16.1 million and $2.8 million of net excess tax benefits, respectively, related to the vesting and exercise of share-based awards.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1, 2026, we had unrecognized compensation expense related to stock options, RSUs, and target Performance RSUs (based on the Company’s expected achievement of performance measures) of $0.5 million, $50.4 million, and $17.2 million, respectively. This expense will be recognized over a weighted-average number of years of 1.4, 2.2, and 1.3, respectively, based on the average remaining service periods for the awards. We may recognize an additional $13.1 million in compensation expense in future periods after August 1, 2026 if the maximum number of Performance RSUs is earned based on certain performance measures being met.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Stock Options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award activity during the six months ended August 1, 2026:</w:t>
      </w:r>
    </w:p>
    <w:tbl>
      <w:tblPr>
        <w:tblW w:w="7782" w:type="dxa"/>
        <w:jc w:val="left"/>
        <w:tblInd w:w="0" w:type="dxa"/>
        <w:tblLayout w:type="fixed"/>
        <w:tblCellMar>
          <w:top w:w="28" w:type="dxa"/>
          <w:left w:w="28" w:type="dxa"/>
          <w:bottom w:w="28" w:type="dxa"/>
          <w:right w:w="28" w:type="dxa"/>
        </w:tblCellMar>
      </w:tblPr>
      <w:tblGrid>
        <w:gridCol w:w="1244"/>
        <w:gridCol w:w="1092"/>
        <w:gridCol w:w="1098"/>
        <w:gridCol w:w="396"/>
        <w:gridCol w:w="399"/>
        <w:gridCol w:w="226"/>
        <w:gridCol w:w="109"/>
        <w:gridCol w:w="109"/>
        <w:gridCol w:w="109"/>
        <w:gridCol w:w="583"/>
        <w:gridCol w:w="1992"/>
        <w:gridCol w:w="425"/>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Options</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31, 2026</w:t>
            </w:r>
          </w:p>
        </w:tc>
        <w:tc>
          <w:tcPr>
            <w:tcW w:w="795"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72,240 </w:t>
            </w:r>
          </w:p>
        </w:tc>
        <w:tc>
          <w:tcPr>
            <w:tcW w:w="2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109.55 </w:t>
            </w:r>
          </w:p>
        </w:tc>
        <w:tc>
          <w:tcPr>
            <w:tcW w:w="42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1, 2026</w:t>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options as of August 1, 2026</w:t>
            </w:r>
          </w:p>
        </w:tc>
        <w:tc>
          <w:tcPr>
            <w:tcW w:w="79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RSUs and Performance RSUs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and Performance RSU award activity during the six months ended August 1, 2026:</w:t>
      </w:r>
    </w:p>
    <w:tbl>
      <w:tblPr>
        <w:tblW w:w="10205" w:type="dxa"/>
        <w:jc w:val="left"/>
        <w:tblInd w:w="0" w:type="dxa"/>
        <w:tblLayout w:type="fixed"/>
        <w:tblCellMar>
          <w:top w:w="28" w:type="dxa"/>
          <w:left w:w="28" w:type="dxa"/>
          <w:bottom w:w="28" w:type="dxa"/>
          <w:right w:w="28" w:type="dxa"/>
        </w:tblCellMar>
      </w:tblPr>
      <w:tblGrid>
        <w:gridCol w:w="757"/>
        <w:gridCol w:w="665"/>
        <w:gridCol w:w="668"/>
        <w:gridCol w:w="435"/>
        <w:gridCol w:w="436"/>
        <w:gridCol w:w="284"/>
        <w:gridCol w:w="109"/>
        <w:gridCol w:w="109"/>
        <w:gridCol w:w="109"/>
        <w:gridCol w:w="483"/>
        <w:gridCol w:w="1653"/>
        <w:gridCol w:w="249"/>
        <w:gridCol w:w="109"/>
        <w:gridCol w:w="109"/>
        <w:gridCol w:w="109"/>
        <w:gridCol w:w="435"/>
        <w:gridCol w:w="436"/>
        <w:gridCol w:w="284"/>
        <w:gridCol w:w="109"/>
        <w:gridCol w:w="109"/>
        <w:gridCol w:w="109"/>
        <w:gridCol w:w="471"/>
        <w:gridCol w:w="1615"/>
        <w:gridCol w:w="353"/>
      </w:tblGrid>
      <w:tr>
        <w:trPr/>
        <w:tc>
          <w:tcPr>
            <w:tcW w:w="7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RSUs</w:t>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Units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Units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31, 2026</w:t>
            </w:r>
          </w:p>
        </w:tc>
        <w:tc>
          <w:tcPr>
            <w:tcW w:w="8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339,118 </w:t>
            </w:r>
          </w:p>
        </w:tc>
        <w:tc>
          <w:tcPr>
            <w:tcW w:w="28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24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269,403 </w:t>
            </w:r>
          </w:p>
        </w:tc>
        <w:tc>
          <w:tcPr>
            <w:tcW w:w="28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35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units 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(128,811)</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cancelled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1, 2026</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285,030 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165,649 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number of granted Performance RSUs presented above consists of 26,347 target shares and 26,347 supplemental shares. The total number of Performance RSUs outstanding as of August 1, 2026 consists of 92,550 target shares and 73,099 supplemental shares. With respect to the Company’s Performance Year ended January 31, 2026, the Company added 26,799 supplemental shares and cancelled 27,890 supplemental shares during the six months ended August 1, 2026, as a result of the performance period criteria not being met.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19. Customer Concentration and Revenue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Geographic Location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services throughout the United States.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Significant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 base is highly concentrated. Customers whose contract revenues exceeded 10% of total contract revenues during the three and six months ended August 1, 2026 or July 26, 2025, as well as total contract revenues from all other customers combined, were as follows (dollars in millions):</w:t>
      </w:r>
    </w:p>
    <w:p>
      <w:pPr>
        <w:pStyle w:val="TextBody"/>
        <w:bidi w:val="0"/>
        <w:spacing w:before="0" w:after="0"/>
        <w:ind w:left="0" w:right="0" w:firstLine="720"/>
        <w:jc w:val="left"/>
        <w:rPr/>
      </w:pPr>
      <w:r>
        <w:rPr/>
      </w:r>
    </w:p>
    <w:tbl>
      <w:tblPr>
        <w:tblW w:w="11930" w:type="dxa"/>
        <w:jc w:val="left"/>
        <w:tblInd w:w="0" w:type="dxa"/>
        <w:tblLayout w:type="fixed"/>
        <w:tblCellMar>
          <w:top w:w="28" w:type="dxa"/>
          <w:left w:w="28" w:type="dxa"/>
          <w:bottom w:w="28" w:type="dxa"/>
          <w:right w:w="28" w:type="dxa"/>
        </w:tblCellMar>
      </w:tblPr>
      <w:tblGrid>
        <w:gridCol w:w="547"/>
        <w:gridCol w:w="481"/>
        <w:gridCol w:w="488"/>
        <w:gridCol w:w="211"/>
        <w:gridCol w:w="766"/>
        <w:gridCol w:w="109"/>
        <w:gridCol w:w="109"/>
        <w:gridCol w:w="109"/>
        <w:gridCol w:w="109"/>
        <w:gridCol w:w="307"/>
        <w:gridCol w:w="309"/>
        <w:gridCol w:w="317"/>
        <w:gridCol w:w="109"/>
        <w:gridCol w:w="109"/>
        <w:gridCol w:w="109"/>
        <w:gridCol w:w="211"/>
        <w:gridCol w:w="766"/>
        <w:gridCol w:w="109"/>
        <w:gridCol w:w="109"/>
        <w:gridCol w:w="109"/>
        <w:gridCol w:w="109"/>
        <w:gridCol w:w="307"/>
        <w:gridCol w:w="309"/>
        <w:gridCol w:w="317"/>
        <w:gridCol w:w="109"/>
        <w:gridCol w:w="109"/>
        <w:gridCol w:w="109"/>
        <w:gridCol w:w="211"/>
        <w:gridCol w:w="766"/>
        <w:gridCol w:w="109"/>
        <w:gridCol w:w="109"/>
        <w:gridCol w:w="109"/>
        <w:gridCol w:w="109"/>
        <w:gridCol w:w="307"/>
        <w:gridCol w:w="309"/>
        <w:gridCol w:w="317"/>
        <w:gridCol w:w="109"/>
        <w:gridCol w:w="109"/>
        <w:gridCol w:w="109"/>
        <w:gridCol w:w="211"/>
        <w:gridCol w:w="766"/>
        <w:gridCol w:w="109"/>
        <w:gridCol w:w="109"/>
        <w:gridCol w:w="109"/>
        <w:gridCol w:w="109"/>
        <w:gridCol w:w="307"/>
        <w:gridCol w:w="309"/>
        <w:gridCol w:w="366"/>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8"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AT&amp;T Inc. </w:t>
            </w:r>
            <w:r>
              <w:rPr>
                <w:rFonts w:ascii="Times New Roman;serif" w:hAnsi="Times New Roman;serif"/>
                <w:b w:val="false"/>
                <w:color w:val="000000"/>
                <w:sz w:val="13"/>
              </w:rPr>
              <w:t>(1)</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Verizon Communications Inc. </w:t>
            </w:r>
            <w:r>
              <w:rPr>
                <w:rFonts w:ascii="Times New Roman;serif" w:hAnsi="Times New Roman;serif"/>
                <w:b w:val="false"/>
                <w:color w:val="000000"/>
                <w:sz w:val="13"/>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Lumen Technologies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customers combined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February 2, 2026, AT&amp;T Inc. completed its acquisition of substantially all of the mass markets fiber business from Lumen Technologies Inc. As a result, amounts reported for AT&amp;T Inc. in the current fiscal year include revenues from the mass markets fiber business to the extent they have transferred from Lumen Technologies Inc. </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On January 20, 2026, Verizon Communications, Inc. completed its acquisition of Frontier Communications Corporation. As a result, amounts reported for Verizon Communications, Inc. include the respective balances for Frontier Communications Corporation retrospectively for all periods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See Note 6, </w:t>
      </w:r>
      <w:r>
        <w:rPr>
          <w:rFonts w:ascii="Times New Roman;serif" w:hAnsi="Times New Roman;serif"/>
          <w:b w:val="false"/>
          <w:i/>
          <w:color w:val="000000"/>
          <w:sz w:val="20"/>
        </w:rPr>
        <w:t>Accounts Receivable, Contract Assets, and Contract Liabilities</w:t>
      </w:r>
      <w:r>
        <w:rPr>
          <w:rFonts w:ascii="Times New Roman;serif" w:hAnsi="Times New Roman;serif"/>
          <w:b w:val="false"/>
          <w:color w:val="000000"/>
          <w:sz w:val="20"/>
        </w:rPr>
        <w:t>, for information on our customer credit concentration and collectability of trade accounts receivable and contract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Customer Type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contract revenues by customer type during the three and six months ended August 1, 2026 and July 26, 2025 were as follows (dollars in millions):</w:t>
      </w:r>
    </w:p>
    <w:tbl>
      <w:tblPr>
        <w:tblW w:w="11930" w:type="dxa"/>
        <w:jc w:val="left"/>
        <w:tblInd w:w="0" w:type="dxa"/>
        <w:tblLayout w:type="fixed"/>
        <w:tblCellMar>
          <w:top w:w="28" w:type="dxa"/>
          <w:left w:w="28" w:type="dxa"/>
          <w:bottom w:w="28" w:type="dxa"/>
          <w:right w:w="28" w:type="dxa"/>
        </w:tblCellMar>
      </w:tblPr>
      <w:tblGrid>
        <w:gridCol w:w="549"/>
        <w:gridCol w:w="483"/>
        <w:gridCol w:w="484"/>
        <w:gridCol w:w="211"/>
        <w:gridCol w:w="766"/>
        <w:gridCol w:w="109"/>
        <w:gridCol w:w="109"/>
        <w:gridCol w:w="109"/>
        <w:gridCol w:w="109"/>
        <w:gridCol w:w="307"/>
        <w:gridCol w:w="309"/>
        <w:gridCol w:w="317"/>
        <w:gridCol w:w="109"/>
        <w:gridCol w:w="109"/>
        <w:gridCol w:w="109"/>
        <w:gridCol w:w="211"/>
        <w:gridCol w:w="766"/>
        <w:gridCol w:w="109"/>
        <w:gridCol w:w="109"/>
        <w:gridCol w:w="109"/>
        <w:gridCol w:w="109"/>
        <w:gridCol w:w="308"/>
        <w:gridCol w:w="308"/>
        <w:gridCol w:w="317"/>
        <w:gridCol w:w="109"/>
        <w:gridCol w:w="109"/>
        <w:gridCol w:w="109"/>
        <w:gridCol w:w="211"/>
        <w:gridCol w:w="766"/>
        <w:gridCol w:w="109"/>
        <w:gridCol w:w="109"/>
        <w:gridCol w:w="109"/>
        <w:gridCol w:w="109"/>
        <w:gridCol w:w="307"/>
        <w:gridCol w:w="309"/>
        <w:gridCol w:w="317"/>
        <w:gridCol w:w="109"/>
        <w:gridCol w:w="109"/>
        <w:gridCol w:w="109"/>
        <w:gridCol w:w="211"/>
        <w:gridCol w:w="766"/>
        <w:gridCol w:w="109"/>
        <w:gridCol w:w="109"/>
        <w:gridCol w:w="109"/>
        <w:gridCol w:w="109"/>
        <w:gridCol w:w="308"/>
        <w:gridCol w:w="308"/>
        <w:gridCol w:w="366"/>
      </w:tblGrid>
      <w:tr>
        <w:trPr/>
        <w:tc>
          <w:tcPr>
            <w:tcW w:w="5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8"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Master service agreements and other contractual agreements with customers contain customer-specified service requirements, such as discrete pricing for individual tasks and firm orders under fixed price contracts which have not yet started or been fully completed. In most cases, our customers are not contractually committed to procure specific volumes of services under these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Services are generally performed pursuant to these agreements in accordance with individual work orders. An individual work order generally is completed within one year. As a result, our remaining performance obligations under the work orders not yet completed is not meaningful in relation to our overall revenue at any given point in time. We apply the practical expedient in Accounting Standards Codification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and do not disclose information about remaining performance obligations that have original expected durations of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 Segment Reporting</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The Company operates in two reportable segments which derive revenues by providing specialty contracting services throughout the United States on a decentralized basis. Dycom’s reportable segments are: Communications and Building Systems. This segment structure reflects the financial information and reports used by the Company's Chief Executive Officer, the chief operating decision maker (CODM), to make decisions regarding the Company's business, including performance assessments and strategic and operational planning in compliance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56" w:before="0" w:after="0"/>
        <w:ind w:left="0" w:right="0" w:firstLine="360"/>
        <w:jc w:val="both"/>
        <w:rPr/>
      </w:pPr>
      <w:r>
        <w:rPr>
          <w:rFonts w:ascii="Times New Roman;serif" w:hAnsi="Times New Roman;serif"/>
          <w:b w:val="false"/>
          <w:i/>
          <w:color w:val="000000"/>
          <w:sz w:val="20"/>
        </w:rPr>
        <w:t>Communications</w:t>
      </w:r>
      <w:r>
        <w:rPr>
          <w:rFonts w:ascii="Times New Roman;serif" w:hAnsi="Times New Roman;serif"/>
          <w:b w:val="false"/>
          <w:color w:val="000000"/>
          <w:sz w:val="20"/>
        </w:rPr>
        <w:t>. The Communications segment provides specialty contracting services, including program management, planning; engineering and design; aerial, underground, and wireless construction; maintenance; and fulfillment services for telecommunications and digital infrastructure providers. The Communications segment also provides underground facility locating services for various utilities and other construction and maintenance services for electric and gas utilities. The Communications segment services are provided by its operating segments that consist of a subsidiary (or in certain instances, the combination of two or more subsidiaries), whose results are regularly reviewed by the CODM. The Communications segment’s operating segments have been aggregated into one reportable segment based on their similar economic characteristics, nature of services and production processes, type of customers, and service distribution methods.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pPr>
      <w:r>
        <w:rPr>
          <w:rFonts w:ascii="Times New Roman;serif" w:hAnsi="Times New Roman;serif"/>
          <w:b w:val="false"/>
          <w:i/>
          <w:color w:val="000000"/>
          <w:sz w:val="20"/>
          <w:shd w:fill="FFFFFF" w:val="clear"/>
        </w:rPr>
        <w:t>Building Systems</w:t>
      </w:r>
      <w:r>
        <w:rPr>
          <w:rFonts w:ascii="Times New Roman;serif" w:hAnsi="Times New Roman;serif"/>
          <w:b w:val="false"/>
          <w:color w:val="000000"/>
          <w:sz w:val="20"/>
          <w:shd w:fill="FFFFFF" w:val="clear"/>
        </w:rPr>
        <w:t>. During fiscal 2026, following the acquisition of Power Solutions, the CODM reevaluated the Company’s reportable segments, which resulted in the addition of the Building Systems segment as a component of management’s internal financial information used for operational decision-making. Beginning in fiscal 2026, the Company has reported the results of the Building Systems segment separately as a reportable segment. The Building Systems segment reflects the results of Power Solutions following the acquisition on December 23, 2025 and National Technology Integrators following the acquisition on July 2, 2026. The Building Systems segment specializes in providing comprehensive building infrastructure solutions, including electrical, energy management, inside-plant structured cabling, and advanced audio-visual, security and fire safety systems for data centers and other critical facilities.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key measure of segment profit or loss utilized by the CODM to assess performance of and allocate resources to the Company’s operating segments is income before income taxes. Significant segment expenses included in income before income taxes are cost of earned revenues, depreciation and amortization, and other segment items, which include general and administrative expenses, segment interest expense (income) and other income (expense). The measure of segment assets regularly provided to the CODM is consistent with total assets as reported on the consolidated balance sheets.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CODM reviews contract revenues and income before income taxes compared to historical, forecasted and budgeted amounts to assess the performance of the Company’s operating segments and allocate resources.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corporate costs are not allocated, including certain acquisition and integration costs, credit agreement and senior notes interest expense, interest income on invested balances and loss on debt extinguishment.</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financial information for the three and six months ended August 1, 2026 and July 26, 2025, was as follows (dollars in millions):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949"/>
        <w:gridCol w:w="1693"/>
        <w:gridCol w:w="1699"/>
        <w:gridCol w:w="300"/>
        <w:gridCol w:w="1090"/>
        <w:gridCol w:w="156"/>
        <w:gridCol w:w="109"/>
        <w:gridCol w:w="109"/>
        <w:gridCol w:w="109"/>
        <w:gridCol w:w="344"/>
        <w:gridCol w:w="1008"/>
        <w:gridCol w:w="177"/>
        <w:gridCol w:w="109"/>
        <w:gridCol w:w="109"/>
        <w:gridCol w:w="109"/>
        <w:gridCol w:w="211"/>
        <w:gridCol w:w="766"/>
        <w:gridCol w:w="158"/>
      </w:tblGrid>
      <w:tr>
        <w:trPr/>
        <w:tc>
          <w:tcPr>
            <w:tcW w:w="194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August 1, 2026</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Building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34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7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income taxes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non-allocated costs </w:t>
            </w:r>
            <w:r>
              <w:rPr>
                <w:rFonts w:ascii="Times New Roman;serif" w:hAnsi="Times New Roman;serif"/>
                <w:b w:val="false"/>
                <w:color w:val="000000"/>
                <w:sz w:val="13"/>
              </w:rPr>
              <w:t>(2)</w:t>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income before income taxes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49"/>
        <w:gridCol w:w="1693"/>
        <w:gridCol w:w="1699"/>
        <w:gridCol w:w="300"/>
        <w:gridCol w:w="1090"/>
        <w:gridCol w:w="156"/>
        <w:gridCol w:w="109"/>
        <w:gridCol w:w="109"/>
        <w:gridCol w:w="109"/>
        <w:gridCol w:w="344"/>
        <w:gridCol w:w="1008"/>
        <w:gridCol w:w="177"/>
        <w:gridCol w:w="109"/>
        <w:gridCol w:w="109"/>
        <w:gridCol w:w="109"/>
        <w:gridCol w:w="211"/>
        <w:gridCol w:w="766"/>
        <w:gridCol w:w="158"/>
      </w:tblGrid>
      <w:tr>
        <w:trPr/>
        <w:tc>
          <w:tcPr>
            <w:tcW w:w="194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Six Months Ended August 1, 2026</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Building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34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3,177.8 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17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1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income taxes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non-allocated costs </w:t>
            </w:r>
            <w:r>
              <w:rPr>
                <w:rFonts w:ascii="Times New Roman;serif" w:hAnsi="Times New Roman;serif"/>
                <w:b w:val="false"/>
                <w:color w:val="000000"/>
                <w:sz w:val="13"/>
              </w:rPr>
              <w:t>(2)</w:t>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income before income taxes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50"/>
        <w:gridCol w:w="1694"/>
        <w:gridCol w:w="1701"/>
        <w:gridCol w:w="300"/>
        <w:gridCol w:w="1090"/>
        <w:gridCol w:w="156"/>
        <w:gridCol w:w="109"/>
        <w:gridCol w:w="109"/>
        <w:gridCol w:w="109"/>
        <w:gridCol w:w="442"/>
        <w:gridCol w:w="854"/>
        <w:gridCol w:w="230"/>
        <w:gridCol w:w="109"/>
        <w:gridCol w:w="109"/>
        <w:gridCol w:w="109"/>
        <w:gridCol w:w="211"/>
        <w:gridCol w:w="766"/>
        <w:gridCol w:w="157"/>
      </w:tblGrid>
      <w:tr>
        <w:trPr/>
        <w:tc>
          <w:tcPr>
            <w:tcW w:w="195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July 26, 2025</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Building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34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income taxes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non-allocated costs </w:t>
            </w:r>
            <w:r>
              <w:rPr>
                <w:rFonts w:ascii="Times New Roman;serif" w:hAnsi="Times New Roman;serif"/>
                <w:b w:val="false"/>
                <w:color w:val="000000"/>
                <w:sz w:val="13"/>
              </w:rPr>
              <w:t>(2)</w:t>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income before income taxes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50"/>
        <w:gridCol w:w="1694"/>
        <w:gridCol w:w="1701"/>
        <w:gridCol w:w="300"/>
        <w:gridCol w:w="1090"/>
        <w:gridCol w:w="156"/>
        <w:gridCol w:w="109"/>
        <w:gridCol w:w="109"/>
        <w:gridCol w:w="109"/>
        <w:gridCol w:w="442"/>
        <w:gridCol w:w="854"/>
        <w:gridCol w:w="230"/>
        <w:gridCol w:w="109"/>
        <w:gridCol w:w="109"/>
        <w:gridCol w:w="109"/>
        <w:gridCol w:w="211"/>
        <w:gridCol w:w="766"/>
        <w:gridCol w:w="157"/>
      </w:tblGrid>
      <w:tr>
        <w:trPr/>
        <w:tc>
          <w:tcPr>
            <w:tcW w:w="195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Six Months Ended July 26, 2025</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Building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34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income taxes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non-allocated costs </w:t>
            </w:r>
            <w:r>
              <w:rPr>
                <w:rFonts w:ascii="Times New Roman;serif" w:hAnsi="Times New Roman;serif"/>
                <w:b w:val="false"/>
                <w:color w:val="000000"/>
                <w:sz w:val="13"/>
              </w:rPr>
              <w:t>(2)</w:t>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income before income taxes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segment items include general and administrative expenses, segment interest expense (income) and other income (expense).</w:t>
      </w:r>
    </w:p>
    <w:p>
      <w:pPr>
        <w:pStyle w:val="TextBody"/>
        <w:bidi w:val="0"/>
        <w:spacing w:lineRule="auto" w:line="256"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Corporate and non-allocated costs include certain acquisition and integration costs, credit agreement and senior notes interest expense, interest income on invested balances and loss on debt extinguishment.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tbl>
      <w:tblPr>
        <w:tblW w:w="5456" w:type="dxa"/>
        <w:jc w:val="left"/>
        <w:tblInd w:w="0" w:type="dxa"/>
        <w:tblLayout w:type="fixed"/>
        <w:tblCellMar>
          <w:top w:w="28" w:type="dxa"/>
          <w:left w:w="28" w:type="dxa"/>
          <w:bottom w:w="28" w:type="dxa"/>
          <w:right w:w="28" w:type="dxa"/>
        </w:tblCellMar>
      </w:tblPr>
      <w:tblGrid>
        <w:gridCol w:w="774"/>
        <w:gridCol w:w="682"/>
        <w:gridCol w:w="689"/>
        <w:gridCol w:w="262"/>
        <w:gridCol w:w="952"/>
        <w:gridCol w:w="135"/>
        <w:gridCol w:w="109"/>
        <w:gridCol w:w="109"/>
        <w:gridCol w:w="109"/>
        <w:gridCol w:w="305"/>
        <w:gridCol w:w="1108"/>
        <w:gridCol w:w="222"/>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Total Assets:</w:t>
            </w:r>
          </w:p>
        </w:tc>
        <w:tc>
          <w:tcPr>
            <w:tcW w:w="13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assets</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5,979.2 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095" w:type="dxa"/>
        <w:jc w:val="left"/>
        <w:tblInd w:w="0" w:type="dxa"/>
        <w:tblLayout w:type="fixed"/>
        <w:tblCellMar>
          <w:top w:w="28" w:type="dxa"/>
          <w:left w:w="28" w:type="dxa"/>
          <w:bottom w:w="28" w:type="dxa"/>
          <w:right w:w="28" w:type="dxa"/>
        </w:tblCellMar>
      </w:tblPr>
      <w:tblGrid>
        <w:gridCol w:w="1075"/>
        <w:gridCol w:w="946"/>
        <w:gridCol w:w="948"/>
        <w:gridCol w:w="109"/>
        <w:gridCol w:w="109"/>
        <w:gridCol w:w="216"/>
        <w:gridCol w:w="216"/>
        <w:gridCol w:w="419"/>
        <w:gridCol w:w="1225"/>
        <w:gridCol w:w="216"/>
        <w:gridCol w:w="109"/>
        <w:gridCol w:w="109"/>
        <w:gridCol w:w="109"/>
        <w:gridCol w:w="277"/>
        <w:gridCol w:w="810"/>
        <w:gridCol w:w="202"/>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1616"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6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21. Commitments and Contingencies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are party to various claims and legal proceedings arising in the ordinary course of business. While the resolution of these matters cannot be predicted with certainty, it is the opinion of management, based on information available at this time, that the ultimate resolution of any such claims or legal proceedings will not, after considering applicable insurance coverage or other indemnities to which we may be entitled, have a material effect on our financial position, results of operations, or cash flow.</w:t>
      </w:r>
    </w:p>
    <w:p>
      <w:pPr>
        <w:pStyle w:val="TextBody"/>
        <w:bidi w:val="0"/>
        <w:spacing w:before="0" w:after="0"/>
        <w:jc w:val="both"/>
        <w:rPr/>
      </w:pPr>
      <w:r>
        <w:rPr/>
      </w:r>
    </w:p>
    <w:p>
      <w:pPr>
        <w:pStyle w:val="TextBody"/>
        <w:bidi w:val="0"/>
        <w:spacing w:lineRule="auto" w:line="276"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Performance and Payment Bonds and Guarantees. </w:t>
      </w:r>
      <w:r>
        <w:rPr>
          <w:rFonts w:ascii="Times New Roman;serif" w:hAnsi="Times New Roman;serif"/>
          <w:b w:val="false"/>
          <w:color w:val="000000"/>
          <w:sz w:val="20"/>
        </w:rPr>
        <w:t>We have obligations under performance and other surety contract bonds related to certain of our customer contracts. Performance bonds generally provide a customer with the right to obtain payment and/or performance from the issuer of the bond if we fail to perform our contractual obligations. As of August 1, 2026 and January 31, 2026, we had $1,215.8 million and $917.9 million, respectively, of outstanding performance and other surety contract bonds. In addition to performance and other surety contract bonds, as part of our insurance program we also provide surety bonds that collateralize our obligations to our insurance carriers. As of August 1, 2026 and January 31, 2026, we had $43.8 million and $31.0 million, respectively, of outstanding surety bonds related to our insurance obligations. Additionally, we have periodically guaranteed certain obligations of our subsidiaries, including obligations in connection with obtaining state contractor licenses and leasing real property and equipment.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Letters of Credit. </w:t>
      </w:r>
      <w:r>
        <w:rPr>
          <w:rFonts w:ascii="Times New Roman;serif" w:hAnsi="Times New Roman;serif"/>
          <w:b w:val="false"/>
          <w:color w:val="000000"/>
          <w:sz w:val="20"/>
        </w:rPr>
        <w:t>We have</w:t>
      </w:r>
      <w:r>
        <w:rPr>
          <w:color w:val="000000"/>
        </w:rPr>
        <w:t xml:space="preserve"> </w:t>
      </w:r>
      <w:r>
        <w:rPr>
          <w:rFonts w:ascii="Times New Roman;serif" w:hAnsi="Times New Roman;serif"/>
          <w:b w:val="false"/>
          <w:color w:val="000000"/>
          <w:sz w:val="20"/>
        </w:rPr>
        <w:t>issued standby letters of credit under our credit agreement that collateralize our obligations to our insurance carriers. As of August 1, 2026 and January 31, 2026, we had $53.6 million of outstanding standby letters of credit issued under our credit agreement.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22. Supplier Finance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Beginning in the fourth quarter of fiscal 2026, the Company has provided certain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Our outstanding payment obligations are included in accounts payable on our consolidated balance sheets and are reported as operating activities in our consolidated statements of cash flows when paid.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 in the supplier financing obligation for the three and six months ended August 1, 2026 (dollars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77"/>
        <w:gridCol w:w="1387"/>
        <w:gridCol w:w="1391"/>
        <w:gridCol w:w="280"/>
        <w:gridCol w:w="820"/>
        <w:gridCol w:w="144"/>
        <w:gridCol w:w="130"/>
        <w:gridCol w:w="130"/>
        <w:gridCol w:w="130"/>
        <w:gridCol w:w="324"/>
        <w:gridCol w:w="624"/>
        <w:gridCol w:w="166"/>
        <w:gridCol w:w="109"/>
        <w:gridCol w:w="109"/>
        <w:gridCol w:w="109"/>
        <w:gridCol w:w="280"/>
        <w:gridCol w:w="820"/>
        <w:gridCol w:w="144"/>
        <w:gridCol w:w="120"/>
        <w:gridCol w:w="120"/>
        <w:gridCol w:w="120"/>
        <w:gridCol w:w="316"/>
        <w:gridCol w:w="611"/>
        <w:gridCol w:w="244"/>
      </w:tblGrid>
      <w:tr>
        <w:trPr/>
        <w:tc>
          <w:tcPr>
            <w:tcW w:w="15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beginning of the period</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received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paid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end of the period</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23. Subsequent Events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26, 2026 the Company announced that its Board of Directors had authorized a new $150.0 million program to repurchase shares of the Company’s outstanding common stock through February 2028 in open market or private transactions. The new authorization replaces the remaining $83.9 million that was available under the prior authorization. As of August 27, 2026, the full $150.0 million of the new authorization was available for repurchases.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Cautionary Note Concerning 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These statements are intended to qualify for the “safe harbor” from liability established by the Private Securities Litigation Reform Act of 1995. These statements may relate to future events, financial performance, strategies, expectations, and the competitive environment. Words such as “believe,” “expect,” “anticipate,” “estimate,” “intend,” “project,” “forecast,” “target,” “outlook,” “may,” “should,” “could,” and similar expressions, as well as statements written in the future tense, identify forward-looking statements.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You should not consider forward-looking statements as guarantees of future performance or results. When made, forward-looking statements are based on information known to management at such time and/or management’s good faith belief with respect to future events. Such statements are subject to risks and uncertainties that could cause actual performance or results to differ materially from those expressed in or suggested by the forward-looking statements. Important factors, assumptions, uncertainties, and risks that could cause such differences include, but are not limited to: projections of revenues, income or loss, or capital expenditures; future economic conditions and trends in the industries we serve, including as a result of changes in government regulation, policies and programs related to trade and infrastructure investment and tariffs; our highly concentrated customer base; the competitive environment in which we operate; customer capital budgets and spending priorities; our plans for future operations, growth and services, including contract backlog; our plans for future acquisitions, dispositions, or financial needs; expected benefits and synergies of businesses acquired and future opportunities for the combined businesses; our significant accounts receivable and contract assets; availability of capital; restrictions imposed by our senior notes and credit agreement; use of our cash flow to service our debt; the effect of changes in tax law; potential liabilities and other adverse effects arising from occupational health, safety, and other regulatory matters; potential exposure to environmental liabilities; our potential exposure to litigation, indemnity claims, warranty claims, and other liabilities and disputes; determinations as to whether the carrying value of our assets is impaired; the duration and severity of public health emergencies and their ultimate impact across our business; the impact of seasonality and adverse weather conditions on demand for our services; the impact of technological change on our customers’ spending and our ability to keep pace with technological developments; our ability to attract and retain qualified employees and subcontractors; the impact of a failure, outage or cybersecurity breach of our technology or information technology systems or those of third-party providers; and the other risks and uncertainties discussed within Item 1, </w:t>
      </w:r>
      <w:r>
        <w:rPr>
          <w:rFonts w:ascii="Times New Roman;serif" w:hAnsi="Times New Roman;serif"/>
          <w:b w:val="false"/>
          <w:i/>
          <w:color w:val="000000"/>
          <w:sz w:val="20"/>
        </w:rPr>
        <w:t>Business</w:t>
      </w:r>
      <w:r>
        <w:rPr>
          <w:rFonts w:ascii="Times New Roman;serif" w:hAnsi="Times New Roman;serif"/>
          <w:b w:val="false"/>
          <w:color w:val="000000"/>
          <w:sz w:val="20"/>
        </w:rPr>
        <w:t xml:space="preserve">,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Item 7,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of our Annual Report on Form 10-K for fiscal 2026, filed with the U.S. Securities and Exchange Commission (“SEC”) on March 9, 2026, the risks discussed in this Quarterly Report on Form 10-Q, and our other periodic filings with the SEC. These forward-looking statements also include those related to the ability to retain the key employees of the acquired businesses; and the ability to successfully integrate the acquired businesses and related operations. Our forward-looking statements are expressly qualified in their entirety by this cautionary statement and are only made as of the date of this Quarterly Report on Form 10-Q. We undertake no obligation to update or revise any forward-looking statements to reflect new information or events or circumstances arising after such date.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following discussion and analysis should be read in conjunction with our condensed consolidated financial statements and the accompanying notes thereto included elsewhere in this Quarterly Report on Form 10-Q and with our Annual Report on Form 10-K for fiscal 2026. Our Annual Report on Form 10-K for fiscal 2026 was filed with the SEC on March 9, 2026, and is available on the SEC’s website at </w:t>
      </w:r>
      <w:r>
        <w:rPr>
          <w:rFonts w:ascii="Times New Roman;serif" w:hAnsi="Times New Roman;serif"/>
          <w:b w:val="false"/>
          <w:i/>
          <w:color w:val="000000"/>
          <w:sz w:val="20"/>
        </w:rPr>
        <w:t>www.sec.gov</w:t>
      </w:r>
      <w:r>
        <w:rPr>
          <w:color w:val="000000"/>
        </w:rPr>
        <w:t> </w:t>
      </w:r>
      <w:r>
        <w:rPr>
          <w:rFonts w:ascii="Times New Roman;serif" w:hAnsi="Times New Roman;serif"/>
          <w:b w:val="false"/>
          <w:color w:val="000000"/>
          <w:sz w:val="20"/>
        </w:rPr>
        <w:t>and on our website at </w:t>
      </w:r>
      <w:r>
        <w:rPr>
          <w:rFonts w:ascii="Times New Roman;serif" w:hAnsi="Times New Roman;serif"/>
          <w:b w:val="false"/>
          <w:i/>
          <w:color w:val="000000"/>
          <w:sz w:val="20"/>
        </w:rPr>
        <w:t>www.dycomind.com</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are a leading provider of specialty contracting services focused on the digital infrastructure, telecommunications and utilities industries throughout the United States. These services include program management, planning, engineering and design; aerial, underground, and wireless construction; maintenance; and fulfillment services for telecommunications and digital infrastructure providers. We also provide underground facility locating services for various utilities, including telecommunications providers, as well as other construction and maintenance services for electric and gas utilities. Additionally, we provide comprehensive building infrastructure solutions, including electrical, energy management, </w:t>
      </w:r>
      <w:r>
        <w:rPr>
          <w:rFonts w:ascii="Times New Roman;serif" w:hAnsi="Times New Roman;serif"/>
          <w:b w:val="false"/>
          <w:color w:val="000000"/>
          <w:sz w:val="20"/>
          <w:shd w:fill="FFFFFF" w:val="clear"/>
        </w:rPr>
        <w:t>inside-plant structured cabling, and advanced audio-visual,</w:t>
      </w:r>
      <w:r>
        <w:rPr>
          <w:color w:val="000000"/>
        </w:rPr>
        <w:t xml:space="preserve"> </w:t>
      </w:r>
      <w:r>
        <w:rPr>
          <w:rFonts w:ascii="Times New Roman;serif" w:hAnsi="Times New Roman;serif"/>
          <w:b w:val="false"/>
          <w:color w:val="000000"/>
          <w:sz w:val="20"/>
        </w:rPr>
        <w:t>security, and fire safety systems for data centers and other critical facilities. We supply the labor, tools, and equipment necessary to provide these services to our customers.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high-speed and low-latency connectivity is expanding, driven by data-intensive applications and mobile usage, necessitating extensive wireline network upgrades and extensions, new and expanding fiber and electrical infrastructure for data centers to meet the current and future needs of cloud compute and artificial intelligence (“AI”), and advanced wireless network deployments. This widespread need for expanded and enhanced connectivity fuels significant opportunities within the digital infrastructure industry. Our relationships, national footprint, and ability to manage increasingly complex services differentiate us and we are confident in our ability to capitalize on industry opportunities.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strategy centers on our core maintenance and operations services which provide a strong foundation to capitalize on other drivers of demand for digital infrastructure. These include multi-year fiber-to-the-home deployments throughout the United States, increasing fiber and electrical infrastructure builds to support hyperscaler data center growth, continued state and federal program spending to bridge the digital divide and wireless network modernization programs to meet increasing digital demands.</w:t>
      </w:r>
    </w:p>
    <w:p>
      <w:pPr>
        <w:pStyle w:val="TextBody"/>
        <w:bidi w:val="0"/>
        <w:spacing w:lineRule="auto" w:line="288" w:before="0" w:after="0"/>
        <w:ind w:left="0" w:right="0" w:firstLine="360"/>
        <w:jc w:val="left"/>
        <w:rPr/>
      </w:pPr>
      <w:r>
        <w:rPr>
          <w:rFonts w:ascii="Times New Roman;serif" w:hAnsi="Times New Roman;serif"/>
          <w:b w:val="false"/>
          <w:color w:val="000000"/>
          <w:sz w:val="20"/>
        </w:rPr>
        <w:t>The cyclical nature of the industries we serve affects demand for our services, and our contract revenues and results of operations exhibit seasonality as a significant portion of our Communications segment work is performed outdoors. The capital expenditure and maintenance budgets of our customers, and the related timing of approvals and seasonal spending patterns, influence our contract revenues and results of operations. Factors affecting our customers and their capital expenditure budgets include, but are not limited to, overall economic conditions, the introduction of new technologies, our customers’ debt levels and capital structures, our customers’ financial performance, and our customers’ positioning and strategic plans. Other factors that may affect our customers and their capital expenditure budgets include the availability of state and federal funding, the implementation or enforcement of regulations or regulatory actions impacting our customers’ businesses, merger or acquisition activity involving our customers, and the physical maintenance needs of our customers’ infrastructure</w:t>
      </w:r>
      <w:r>
        <w:rPr>
          <w:rFonts w:ascii="Aptos;sans-serif" w:hAnsi="Aptos;sans-serif"/>
          <w:b w:val="false"/>
          <w:color w:val="000000"/>
          <w:sz w:val="2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Customer Relationships and Contractual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established relationships with many leading telecommunications providers, including telephone companies, cable multiple system operators, wireless carriers, telecommunications equipment and infrastructure providers, as well as electric and gas utilities and many leading general contractors specializing in data center construction.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 base is highly concentrated. The following reflects the percentage of total contract revenues from customers who contributed at least 10% to our total contract revenues during the three and six months ended August 1, 2026 and July 26, 2025:</w:t>
      </w:r>
    </w:p>
    <w:p>
      <w:pPr>
        <w:pStyle w:val="TextBody"/>
        <w:bidi w:val="0"/>
        <w:spacing w:before="0" w:after="0"/>
        <w:ind w:left="0" w:right="0" w:firstLine="360"/>
        <w:jc w:val="left"/>
        <w:rPr/>
      </w:pPr>
      <w:r>
        <w:rPr/>
      </w:r>
    </w:p>
    <w:tbl>
      <w:tblPr>
        <w:tblW w:w="9923" w:type="dxa"/>
        <w:jc w:val="left"/>
        <w:tblInd w:w="0" w:type="dxa"/>
        <w:tblLayout w:type="fixed"/>
        <w:tblCellMar>
          <w:top w:w="28" w:type="dxa"/>
          <w:left w:w="28" w:type="dxa"/>
          <w:bottom w:w="28" w:type="dxa"/>
          <w:right w:w="28" w:type="dxa"/>
        </w:tblCellMar>
      </w:tblPr>
      <w:tblGrid>
        <w:gridCol w:w="1001"/>
        <w:gridCol w:w="880"/>
        <w:gridCol w:w="893"/>
        <w:gridCol w:w="450"/>
        <w:gridCol w:w="450"/>
        <w:gridCol w:w="450"/>
        <w:gridCol w:w="281"/>
        <w:gridCol w:w="281"/>
        <w:gridCol w:w="281"/>
        <w:gridCol w:w="415"/>
        <w:gridCol w:w="415"/>
        <w:gridCol w:w="415"/>
        <w:gridCol w:w="109"/>
        <w:gridCol w:w="109"/>
        <w:gridCol w:w="109"/>
        <w:gridCol w:w="450"/>
        <w:gridCol w:w="450"/>
        <w:gridCol w:w="450"/>
        <w:gridCol w:w="248"/>
        <w:gridCol w:w="248"/>
        <w:gridCol w:w="248"/>
        <w:gridCol w:w="378"/>
        <w:gridCol w:w="378"/>
        <w:gridCol w:w="534"/>
      </w:tblGrid>
      <w:tr>
        <w:trPr/>
        <w:tc>
          <w:tcPr>
            <w:tcW w:w="10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8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7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AT&amp;T, Inc.</w:t>
            </w:r>
            <w:r>
              <w:rPr>
                <w:color w:val="000000"/>
              </w:rPr>
              <w:t xml:space="preserve"> </w:t>
            </w:r>
            <w:r>
              <w:rPr>
                <w:rFonts w:ascii="Times New Roman;serif" w:hAnsi="Times New Roman;serif"/>
                <w:b w:val="false"/>
                <w:color w:val="000000"/>
                <w:sz w:val="13"/>
              </w:rPr>
              <w:t>(1)</w:t>
            </w:r>
          </w:p>
        </w:tc>
        <w:tc>
          <w:tcPr>
            <w:tcW w:w="135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Verizon Communications Inc.</w:t>
            </w:r>
            <w:r>
              <w:rPr>
                <w:color w:val="000000"/>
              </w:rPr>
              <w:t xml:space="preserve"> </w:t>
            </w:r>
            <w:r>
              <w:rPr>
                <w:rFonts w:ascii="Times New Roman;serif" w:hAnsi="Times New Roman;serif"/>
                <w:b w:val="false"/>
                <w:color w:val="000000"/>
                <w:sz w:val="13"/>
              </w:rPr>
              <w:t>(2)</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Lumen Technologies </w:t>
            </w:r>
            <w:r>
              <w:rPr>
                <w:rFonts w:ascii="Times New Roman;serif" w:hAnsi="Times New Roman;serif"/>
                <w:b w:val="false"/>
                <w:color w:val="000000"/>
                <w:sz w:val="13"/>
              </w:rPr>
              <w:t>(1)</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February 2, 2026, AT&amp;T, Inc. completed its acquisition of substantially all of the mass markets fiber business from Lumen Technologies, Inc. As a result, amounts reported for AT&amp;T Inc. in the current fiscal year include revenues from the mass markets fiber business to the extent they have transferred from Lumen Technologies Inc. </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Includes revenue attributable to Frontier Communications Corporation retrospectively for all periods presented as a result of the acquisition by Verizon Communications, Inc. on January 20,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a majority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In many cases, a customer may terminate an agreement for convenience. Historically, multi-year master service agreements have been awarded primarily through a competitive bidding process; however, occasionally we are able to negotiate extensions to these agreements. We provide the remainder of our services pursuant to contracts for specific projects. These contracts may be long-term (with terms greater than one year) or short-term (with terms less than one year) and at times include retainage provisions under which the customer may withhold 5% to 10% of the invoiced amounts pending project completion and closeout. Contract revenues from multi-year master service agreements and other long-term contracts, as a percentage of contract revenues, was 94.0% and 92.3% for the three months ended August 1, 2026 and July 26, 2025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growth strategy, we may acquire companies that expand, complement, or diversify our business. We regularly review opportunities and periodically engage in discussions regarding possible acquisitions. Our ability to sustain our growth and maintain our competitive position may be affected by our ability to identify, acquire, and successfully integrate companies.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Fiscal 2027. </w:t>
      </w:r>
      <w:r>
        <w:rPr>
          <w:rFonts w:ascii="Times New Roman;serif" w:hAnsi="Times New Roman;serif"/>
          <w:b w:val="false"/>
          <w:color w:val="000000"/>
          <w:sz w:val="20"/>
        </w:rPr>
        <w:t xml:space="preserve">During the second quarter of fiscal 2027, we acquired National Technology Integrators, a low-voltage engineering and construction firm based in Maryland. This acquisition expands our service offerings and our customer base. The purchase price is valued at $275.0 million as of the signing of the acquisition on a cash-free, debt-free basis. The value is subject to post-closing adjustment, including the final determination of cash, indebtedness, transaction expenses, and working capital balances. At the closing date, the funding of the acquisition included a cash payment of $226.4 million ($225.4 million net of cash acquired of $1.0 million), the issuance of 95,550 shares of Dycom common stock to the sellers valued at $45.0 million, and the assumption of seller indebtedness of $12.3 million. Total consideration was $271.4 million. National Technology Integrators is reported as part of the Company’s Building Systems segment.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Fiscal 2026. </w:t>
      </w:r>
      <w:r>
        <w:rPr>
          <w:rFonts w:ascii="Times New Roman;serif" w:hAnsi="Times New Roman;serif"/>
          <w:b w:val="false"/>
          <w:color w:val="000000"/>
          <w:sz w:val="20"/>
        </w:rPr>
        <w:t xml:space="preserve">During the fourth quarter of fiscal 2026, we acquired Power Solutions, LLC (“Power Solutions”), a company that provides </w:t>
      </w:r>
      <w:r>
        <w:rPr>
          <w:rFonts w:ascii="Times New Roman;serif" w:hAnsi="Times New Roman;serif"/>
          <w:b w:val="false"/>
          <w:color w:val="000000"/>
          <w:sz w:val="20"/>
          <w:shd w:fill="FFFFFF" w:val="clear"/>
        </w:rPr>
        <w:t>comprehensive building infrastructure solutions, including electrical, energy management, security, and fire safety systems for data centers and other critical facilities i</w:t>
      </w:r>
      <w:r>
        <w:rPr>
          <w:rFonts w:ascii="Times New Roman;serif" w:hAnsi="Times New Roman;serif"/>
          <w:b w:val="false"/>
          <w:color w:val="000000"/>
          <w:sz w:val="20"/>
        </w:rPr>
        <w:t xml:space="preserve">n the Greater Washington D.C., Maryland, and Virginia area. This acquisition expands our service offerings and our customer base. The purchase price was valued at $1.95 billion as of the signing of the acquisition on a cash-free, debt-free basis. The value was subject to post-closing adjustment, including the final determination of cash, indebtedness and working capital balances. At the closing date, the funding of the acquisition included a cash payment of $1,644.9 million ($1,628.6 million net of cash acquired of $16.3 million), the issuance of 1,011,069 shares of Dycom common stock to the sellers valued at $351.0 million and the assumption of seller indebtedness of $64.8 million. A post-closing working capital adjustment of $12.8 million was recorded during the first quarter of fiscal 2027. Total consideration was $2,008.7 million. The acquisition of Power Solutions resulted in the addition of a new operating segment which is also a new reportable segment – Building Systems. For additional information on our reportable segments, see Note 20, </w:t>
      </w:r>
      <w:r>
        <w:rPr>
          <w:rFonts w:ascii="Times New Roman;serif" w:hAnsi="Times New Roman;serif"/>
          <w:b w:val="false"/>
          <w:i/>
          <w:color w:val="000000"/>
          <w:sz w:val="20"/>
        </w:rPr>
        <w:t>Segment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Results of the businesses acquired are included in our condensed consolidated financial statements from their respective dates of acquisition and represent the newly formed Building Systems reportable segment. For additional information on our reportable segments, including the results of the Building Systems segment, see Note 20, </w:t>
      </w:r>
      <w:r>
        <w:rPr>
          <w:rFonts w:ascii="Times New Roman;serif" w:hAnsi="Times New Roman;serif"/>
          <w:b w:val="false"/>
          <w:i/>
          <w:color w:val="000000"/>
          <w:sz w:val="20"/>
        </w:rPr>
        <w:t>Segment Reporting</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is based on our condensed consolidated financial statements. These statements have been prepared in accordance with accounting principles generally accepted in the United States of America (“GAAP”). In conformity with GAAP, the preparation of financial statements requires management to make estimates and assumptions that affect the amounts reported in these condensed consolidated financial statements and accompanying notes. These estimates and assumptions require the use of judgment as to the likelihood of various future outcomes and, as a result, actual results could differ materially from these estimates. There have been no material changes to our significant accounting policies and critical accounting estimates described in our Annual Report on Form 10-K for fiscal 2026.</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Understanding Our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The following information is presented so that the reader may better understand certain factors impacting our results of operations and should be read in conjunction with our condensed consolidated financial statements and the accompanying notes thereto included elsewhere in this Quarterly Report on Form 10-Q and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within Item 7,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as well as Note 2, </w:t>
      </w:r>
      <w:r>
        <w:rPr>
          <w:rFonts w:ascii="Times New Roman;serif" w:hAnsi="Times New Roman;serif"/>
          <w:b w:val="false"/>
          <w:i/>
          <w:color w:val="000000"/>
          <w:sz w:val="20"/>
        </w:rPr>
        <w:t>Significant Accounting Policies and Estimates</w:t>
      </w:r>
      <w:r>
        <w:rPr>
          <w:rFonts w:ascii="Times New Roman;serif" w:hAnsi="Times New Roman;serif"/>
          <w:b w:val="false"/>
          <w:color w:val="000000"/>
          <w:sz w:val="20"/>
        </w:rPr>
        <w:t>, in the Notes to the Consolidated Financial Statements included in our Annual Report on Form 10-K for fiscal 2026.</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fiscal year ends on the last Saturday in January. As a result, each fiscal year consists of either 52 weeks or 53 weeks of operations (with the additional week of operations occurring in the fourth quarter). Fiscal 2027 consists of 52 weeks of operations, while fiscal 2026 consisted of 53 weeks of operations.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Contract Revenues. </w:t>
      </w:r>
      <w:r>
        <w:rPr>
          <w:rFonts w:ascii="Times New Roman;serif" w:hAnsi="Times New Roman;serif"/>
          <w:b w:val="false"/>
          <w:color w:val="000000"/>
          <w:sz w:val="20"/>
        </w:rPr>
        <w:t>We perform a significant amount of our services under master service agreements and other contracts that contain customer-specified service requirements. These agreements include discrete pricing for individual tasks including, for example, the placement of underground or aerial fiber, directional boring, and fiber splicing, each based on a specific unit of measure. A contractual agreement exists when each party involved approves and commits to the agreement, the rights of the parties and payment terms are identified, the agreement has commercial substance, and collectability of consideration is probable. Our services are performed for the sole benefit of our customers, whereby the assets being created or maintained are controlled by the customer and the services we perform do not have alternative benefits for us.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The selection of the method to measure progress towards completion requires judgment and is based on the nature of the services to be provided. For us, the output method using units delivered best represents the measure of progress against the performance obligations incorporated within the contractual agreements. This method captures the amount of units delivered pursuant to contracts and is used only when our performance does not produce significant amounts of work in process prior to complete satisfaction of the performance obligation. For a portion of contract items, units to be completed consist of multiple tasks. For these items, the transaction price is allocated to each task based on relative standalone measurements, such as selling prices for similar tasks, or in the alternative, the cost to perform the tasks. Contract revenue is recognized as the tasks are completed as a measurement of progress in the satisfaction of the corresponding performance obligation.</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certain contracts, representing 22% and 2%, respectively, of contract revenues during each of the six months ended August 1, 2026 and July 26, 2025, we use the cost-to-cost measure of progress. These contracts are generally projects that are completed over a period of less than twelve months. Under the cost-to-cost measure of progress, the extent of progress toward completion is measured based on the ratio of costs incurred to date to the total estimated costs. Contract costs include direct labor, direct materials, and subcontractor costs, as well as an allocation of indirect costs. Contract revenues are recorded as costs are incurred. We accrue the entire amount of a contract loss, if any, at the time the loss is determined to be probable and can be reasonably estimated. Our estimates of total contract revenue and total contract costs are subject to ongoing evaluation and revision throughout the life of the contract. Changes in these estimates can result in the recognition of revenue in a current period for performance obligations that were satisfied or partially satisfied in prior periods. Conversely, revisions may result in the reversal of previously recognized revenue if the currently estimated total revenue is less than the previous estimate, or if estimated total contract costs increase. During the six months ended August 1, 2026 and July 26, 2025, the net impact of such changes in estimates on our recognized revenue was not material to our condensed consolidated financial statements. There were no material amounts of unapproved change orders included in revenue during the six months ended August 1, 2026 and July 26,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Costs of Earned Revenues.</w:t>
      </w:r>
      <w:r>
        <w:rPr>
          <w:color w:val="000000"/>
        </w:rPr>
        <w:t xml:space="preserve"> </w:t>
      </w:r>
      <w:r>
        <w:rPr>
          <w:rFonts w:ascii="Times New Roman;serif" w:hAnsi="Times New Roman;serif"/>
          <w:b w:val="false"/>
          <w:color w:val="000000"/>
          <w:sz w:val="20"/>
        </w:rPr>
        <w:t>Costs of earned revenues includes all direct costs of providing services under our contracts, including costs for direct labor provided by employees, services by subcontractors, operation of capital equipment (excluding depreciation), direct materials, costs of insuring our risks, and other direct costs. Under our insurance program, we retain the risk of loss, up to certain limits, for matters related to automobile liability, general liability (including damages associated with underground facility locating services), workers’ compensation, and employee group health.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General and Administrative Expenses.</w:t>
      </w:r>
      <w:r>
        <w:rPr>
          <w:color w:val="000000"/>
        </w:rPr>
        <w:t xml:space="preserve"> </w:t>
      </w:r>
      <w:r>
        <w:rPr>
          <w:rFonts w:ascii="Times New Roman;serif" w:hAnsi="Times New Roman;serif"/>
          <w:b w:val="false"/>
          <w:color w:val="000000"/>
          <w:sz w:val="20"/>
        </w:rPr>
        <w:t xml:space="preserve">General and administrative expenses primarily consist of employee compensation and related expenses, including performance-based compensation and stock-based compensation, legal, consulting and professional fees, information technology and development costs, amortization of implementation costs associated with cloud computing arrangements, provision for or recoveries of bad debt expense, acquisition and integration costs of businesses acquired, and other costs not directly related to the provision of our services under customer contracts. Our provision for bad debt expense is determined by evaluating specific accounts receivable and contract asset balances based on historical collection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trends, the age of outstanding receivables, and the creditworthiness of our customers. We incur information technology and development costs primarily to support and enhance our operating efficiency. Our executive management team and the senior management of our subsidiaries perform substantially all of our sales and marketing functions as part of their management responsibilities.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Our property and equipment primarily consist of vehicles, equipment and machinery, and computer hardware and software. We depreciate property and equipment on a straight-line basis over the estimated useful lives of the assets. In addition, we have intangible assets, including customer relationships, trade names, and non-compete intangibles, which we amortize over their estimated useful lives. We recognize amortization of customer relationship intangibles on an accelerated basis as a function of the expected economic benefit and amortization of other finite-lived intangibles on a straight-line basis over their estimated useful lives.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 xml:space="preserve">Interest expense, net, consists of interest incurred on outstanding variable rate and fixed rate debt and certain other obligations, and the amortization of debt issuance costs. See Note 14, </w:t>
      </w:r>
      <w:r>
        <w:rPr>
          <w:rFonts w:ascii="Times New Roman;serif" w:hAnsi="Times New Roman;serif"/>
          <w:b w:val="false"/>
          <w:i/>
          <w:color w:val="000000"/>
          <w:sz w:val="20"/>
        </w:rPr>
        <w:t>Debt</w:t>
      </w:r>
      <w:r>
        <w:rPr>
          <w:rFonts w:ascii="Times New Roman;serif" w:hAnsi="Times New Roman;serif"/>
          <w:b w:val="false"/>
          <w:color w:val="000000"/>
          <w:sz w:val="20"/>
        </w:rPr>
        <w:t>, in the notes to the condensed consolidated financial statements for information on debt issuance costs.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primarily consists of gains or losses from sales of fixed assets. Other income, net also includes discount fee expense associated with the collection of accounts receivable which have been sold pursuant to a non-recourse sale to a bank partner.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Seasonality and Fluctuations in Operating Results.</w:t>
      </w:r>
      <w:r>
        <w:rPr>
          <w:color w:val="000000"/>
        </w:rPr>
        <w:t xml:space="preserve"> </w:t>
      </w:r>
      <w:r>
        <w:rPr>
          <w:rFonts w:ascii="Times New Roman;serif" w:hAnsi="Times New Roman;serif"/>
          <w:b w:val="false"/>
          <w:color w:val="000000"/>
          <w:sz w:val="20"/>
        </w:rPr>
        <w:t>Our contract revenues and results of operations exhibit seasonality and are impacted by adverse weather changes as we perform a significant portion of our Communications segment work outside.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experience variations in our profitability driven by a number of factors. These factors include variations and fluctuations in contract revenues, job specific costs, insurance claims, the allowance for credit losses, accruals for contingencies, stock-based compensation expense for performance-based stock awards, the fair value of reporting units for the goodwill impairment analysis, the valuation of intangibles and other long-lived assets, gains or losses on the sale of fixed assets from the timing and levels of capital assets sold, the employer portion of payroll taxes as a result of reaching statutory limits, and our effective tax 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operating results for any fiscal period are not necessarily indicative of results we may achieve for any subsequent fiscal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condensed consolidated statements of operations for the periods indicated and the amounts as a percentage of contract revenues (totals may not add due to rounding) (dollars in millions):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tbl>
      <w:tblPr>
        <w:tblW w:w="11517" w:type="dxa"/>
        <w:jc w:val="left"/>
        <w:tblInd w:w="0" w:type="dxa"/>
        <w:tblLayout w:type="fixed"/>
        <w:tblCellMar>
          <w:top w:w="28" w:type="dxa"/>
          <w:left w:w="28" w:type="dxa"/>
          <w:bottom w:w="28" w:type="dxa"/>
          <w:right w:w="28" w:type="dxa"/>
        </w:tblCellMar>
      </w:tblPr>
      <w:tblGrid>
        <w:gridCol w:w="710"/>
        <w:gridCol w:w="312"/>
        <w:gridCol w:w="269"/>
        <w:gridCol w:w="211"/>
        <w:gridCol w:w="766"/>
        <w:gridCol w:w="109"/>
        <w:gridCol w:w="109"/>
        <w:gridCol w:w="109"/>
        <w:gridCol w:w="109"/>
        <w:gridCol w:w="308"/>
        <w:gridCol w:w="308"/>
        <w:gridCol w:w="271"/>
        <w:gridCol w:w="109"/>
        <w:gridCol w:w="109"/>
        <w:gridCol w:w="109"/>
        <w:gridCol w:w="211"/>
        <w:gridCol w:w="766"/>
        <w:gridCol w:w="109"/>
        <w:gridCol w:w="109"/>
        <w:gridCol w:w="109"/>
        <w:gridCol w:w="109"/>
        <w:gridCol w:w="308"/>
        <w:gridCol w:w="308"/>
        <w:gridCol w:w="271"/>
        <w:gridCol w:w="109"/>
        <w:gridCol w:w="109"/>
        <w:gridCol w:w="109"/>
        <w:gridCol w:w="211"/>
        <w:gridCol w:w="766"/>
        <w:gridCol w:w="109"/>
        <w:gridCol w:w="109"/>
        <w:gridCol w:w="109"/>
        <w:gridCol w:w="109"/>
        <w:gridCol w:w="308"/>
        <w:gridCol w:w="308"/>
        <w:gridCol w:w="271"/>
        <w:gridCol w:w="109"/>
        <w:gridCol w:w="109"/>
        <w:gridCol w:w="109"/>
        <w:gridCol w:w="211"/>
        <w:gridCol w:w="766"/>
        <w:gridCol w:w="109"/>
        <w:gridCol w:w="109"/>
        <w:gridCol w:w="109"/>
        <w:gridCol w:w="109"/>
        <w:gridCol w:w="308"/>
        <w:gridCol w:w="308"/>
        <w:gridCol w:w="316"/>
      </w:tblGrid>
      <w:tr>
        <w:trPr/>
        <w:tc>
          <w:tcPr>
            <w:tcW w:w="7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Contract Revenues.</w:t>
      </w:r>
      <w:r>
        <w:rPr>
          <w:color w:val="000000"/>
        </w:rPr>
        <w:t xml:space="preserve"> </w:t>
      </w:r>
      <w:r>
        <w:rPr>
          <w:rFonts w:ascii="Times New Roman;serif" w:hAnsi="Times New Roman;serif"/>
          <w:b w:val="false"/>
          <w:color w:val="000000"/>
          <w:sz w:val="20"/>
        </w:rPr>
        <w:t>Contract revenues were $2.006 billion during the three months ended August 1, 2026 compared to $1.378 billion during the three months ended July 26, 2025. Contract revenues from acquired businesses were $397.5 million for the three months ended August 1, 2026. Acquired revenues represent contract revenues from acquired businesses that were not owned for the full period in both the current and comparable prior periods. Excluding amounts generated by the acquired businesses, contract revenues increased by $230.5 million during the three months ended August 1, 2026 compared to the three months ended July 26, 2025, primarily due to net revenue increases in fiber-to-the-home deployments, including rural fiber deployment programs.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 revenues were $3.971 billion during the six months ended August 1, 2026 compared to $2.637 billion during the six months ended July 26, 2025. Contract revenues from acquired businesses were $792.9 million for the six months ended August 1, 2026. Acquired revenues represent contract revenues from an acquired business that were not owned for the full period in both the current and comparable prior periods. Excluding amounts generated by the acquired businesses, contract revenues increased by $541.2 million during the six months ended August 1, 2026 compared to the six months ended July 26, 2025, primarily due to net revenue increases in fiber-to-the-home deployments, including rural fiber deployment programs.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Costs of Earned Revenues.</w:t>
      </w:r>
      <w:r>
        <w:rPr>
          <w:color w:val="000000"/>
        </w:rPr>
        <w:t xml:space="preserve"> </w:t>
      </w:r>
      <w:r>
        <w:rPr>
          <w:rFonts w:ascii="Times New Roman;serif" w:hAnsi="Times New Roman;serif"/>
          <w:b w:val="false"/>
          <w:color w:val="000000"/>
          <w:sz w:val="20"/>
        </w:rPr>
        <w:t>Costs of earned revenues increased to $1.565 billion, or 78.0% of contract revenues, during the three months ended August 1, 2026 compared to $1.070 billion, or 77.7% of contract revenues, during the three months ended July 26, 2025. The primary components of the increase were a $363.1 million aggregate increase in direct labor and subcontractor costs, a $92.3 million increase in direct materials expense, a $19.9 million increase in equipment and fuel costs, and a $19.7 million increase in other direct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Costs of earned revenues as a percentage of contract revenues increased 0.3% during the three months ended August 1, 2026 compared to the three months ended July 26, 2025. Direct material costs increased 2.9% primarily as a result of our mix of work in which we provide materials for customers during the three months ended August 1, 2026. Labor and subcontracted labor costs decreased 1.5% primarily due to the mix of work performed. Other costs decreased 1.1% on a net basis as a percentage of contract revenues for the three months ended August 1, 2026 compared to the three months ended July 26,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Costs of earned revenues increased to $3.143 billion, or 79.2% of contract revenues, during the six months ended August 1, 2026 compared to $2.082 billion, or 79.0% of contract revenues, during the six months ended July 26, 2025. The primary components of the increase were a $760.7 million aggregate increase in direct labor and subcontractor costs, a $222.7 million increase in direct materials expense, a $41.0 million increase in equipment and fuel costs, and a $37.4 million increase in other direct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Costs of earned revenues as a percentage of contract revenues increased 0.2% during the six months ended August 1, 2026 compared to the six months ended July 26, 2025. Direct material costs increased 3.8% primarily as a result of our mix of work in which we provide materials for customers during the six months ended August 1, 2026. Labor and subcontracted labor costs decreased 2.2% primarily due to the mix of work performed. Other costs decreased 1.4% on a net basis as a percentage of contract revenues for the six months ended August 1, 2026 compared to the six months ended July 26,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pPr>
      <w:r>
        <w:rPr>
          <w:rFonts w:ascii="Times New Roman;serif" w:hAnsi="Times New Roman;serif"/>
          <w:b w:val="false"/>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increased to $132.9 million, or 6.6% of contract revenues, during the three months ended August 1, 2026 compared to $106.8 million, or 7.8% of contract revenues, during the three months ended July 26, 2025. The increase in total general and administrative expenses during the three months ended August 1, 2026 is primarily due to increased administrative, payroll, performance based compensation, and other costs, including incremental general administrative expenses from acquired businesses.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to $264.3 million, or 6.7% of contract revenues, during the six months ended August 1, 2026 compared to $210.5 million, or 8.0% of contract revenues, during the six months ended July 26, 2025. The increase in total general and administrative expenses during the six months ended August 1, 2026 is primarily due to increased administrative, payroll, performance based compensation, and other costs, including incremental general administrative expenses from acquired businesses.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expense was $55.2 million, or 2.7% of contract revenues, during the three months ended August 1, 2026 compared to $48.9 million, or 3.6% of contract revenues, during the three months ended July 26, 2025. Depreciation expense was $108.5 million, or 2.7% of contract revenues, during the six months ended August 1, 2026 compared to $95.3 million, or 3.6% of contract revenues, during the six months ended July 26, 2025. The increase in depreciation expense during the three and six months ended August 1, 2026 is primarily due to higher capital expenditures to support our growth in operations, the normal replacement cycle of fleet assets, and depreciation from acquired businesses.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was $60.5 million and $11.9 million during the three months ended August 1, 2026 and July 26, 2025, respectively and $118.8 million and $23.9 million during the six months ended August 1, 2026 and July 26, 2025, respectively. The increase in amortization expense during the three and six months ended August 1, 2026 is due to the increase in amortizing intangibles from acquired businesses.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was $38.0 million and $15.6 million during the three months ended August 1, 2026 and July 26, 2025, respectively and $73.5 million and $29.6 million during the six months ended August 1, 2026 and July 26, 2025, respectively, as a result of higher outstanding borrowings during the current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Other expense, net was $0.1 million and $1.6 million during the three and six months ended August 1, 2026, respectively, and other income, net was $6.8 million and $14.1 million, respectively, during the three and six months ended July 26, 2025. Gain on sale of fixed assets, net was $2.3 million and $10.1 million during the three months ended August 1, 2026 and July 26, 2025, respectively and $4.3 million and $19.9 million during the six months ended August 1, 2026 and July 26, 2025, respectively. The change in other (expense) income, net is primarily a function of the number of assets sold and prices obtained for those assets during each respective period. Other (expense) income, net also reflects $3.2 million and $4.2 million of expense during the three months ended August 1, 2026 and July 26, 2025 respectively and $8.3 million and $7.8 million of expense during the six months ended August 1, 2026 and July 26, 2025, respectively, associated with the collection of accounts receivable which have been sold pursuant to a non-recourse sale to a bank partner.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The following table presents our income tax provision and effective income tax rate for the three and six months ended August 1, 2026 and July 26, 2025 (dollars in millions):</w:t>
      </w:r>
    </w:p>
    <w:tbl>
      <w:tblPr>
        <w:tblW w:w="8389" w:type="dxa"/>
        <w:jc w:val="left"/>
        <w:tblInd w:w="0" w:type="dxa"/>
        <w:tblLayout w:type="fixed"/>
        <w:tblCellMar>
          <w:top w:w="28" w:type="dxa"/>
          <w:left w:w="28" w:type="dxa"/>
          <w:bottom w:w="28" w:type="dxa"/>
          <w:right w:w="28" w:type="dxa"/>
        </w:tblCellMar>
      </w:tblPr>
      <w:tblGrid>
        <w:gridCol w:w="775"/>
        <w:gridCol w:w="683"/>
        <w:gridCol w:w="686"/>
        <w:gridCol w:w="286"/>
        <w:gridCol w:w="695"/>
        <w:gridCol w:w="368"/>
        <w:gridCol w:w="119"/>
        <w:gridCol w:w="119"/>
        <w:gridCol w:w="119"/>
        <w:gridCol w:w="264"/>
        <w:gridCol w:w="641"/>
        <w:gridCol w:w="340"/>
        <w:gridCol w:w="109"/>
        <w:gridCol w:w="109"/>
        <w:gridCol w:w="109"/>
        <w:gridCol w:w="287"/>
        <w:gridCol w:w="695"/>
        <w:gridCol w:w="368"/>
        <w:gridCol w:w="109"/>
        <w:gridCol w:w="109"/>
        <w:gridCol w:w="109"/>
        <w:gridCol w:w="262"/>
        <w:gridCol w:w="635"/>
        <w:gridCol w:w="393"/>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6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4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6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9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was 24.9% and 25.7% for the three months ended August 1, 2026 and July 26, 2025, respectively, and 20.6% and 24.4% for the six months ended August 1, 2026 and July 26, 2025. The interim income tax provisions are based on the effective income tax rate expected to be applicable for the full fiscal year, adjusted for specific items that are required to be recognized in the period in which they occur. The effective tax rate differs from the statutory rate primarily due to the difference in income tax rates from state to state where work was performed, non-deductible and non-taxable items, tax credits recognized, the tax effects of the vesting and exercise of share-based awards, and changes in unrecognized tax benefits. Deferred tax assets and liabilities are based on the enacted tax rate that will apply in future periods when such assets and liabilities are expected to be settled or realized.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Net Income. </w:t>
      </w:r>
      <w:r>
        <w:rPr>
          <w:rFonts w:ascii="Times New Roman;serif" w:hAnsi="Times New Roman;serif"/>
          <w:b w:val="false"/>
          <w:color w:val="000000"/>
          <w:sz w:val="20"/>
        </w:rPr>
        <w:t>Net income was $115.6 million for the three months ended August 1, 2026 compared to $97.5 million for the three months ended July 26, 2025. Net income was $206.9 million for the six months ended August 1, 2026 compared to $158.5 million for the six months ended July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Non-GAAP Adjusted EBITDA. </w:t>
      </w:r>
      <w:r>
        <w:rPr>
          <w:rFonts w:ascii="Times New Roman;serif" w:hAnsi="Times New Roman;serif"/>
          <w:b w:val="false"/>
          <w:color w:val="000000"/>
          <w:sz w:val="20"/>
        </w:rPr>
        <w:t>Adjusted EBITDA is a Non-GAAP measure. We define Adjusted EBITDA as net income before interest, taxes, depreciation and amortization, gain on sale of fixed assets, stock-based compensation expense, and certain non-recurring items. Management believes Adjusted EBITDA is a helpful measure for comparing the Company’s operating performance with prior periods as well as with the performance of other companies with different capital structures or tax rates. The following table provides a reconciliation of net income to Non-GAAP Adjusted EBITDA (totals may not add due to rounding) (dollars in millions):</w:t>
      </w:r>
    </w:p>
    <w:tbl>
      <w:tblPr>
        <w:tblW w:w="10205" w:type="dxa"/>
        <w:jc w:val="left"/>
        <w:tblInd w:w="0" w:type="dxa"/>
        <w:tblLayout w:type="fixed"/>
        <w:tblCellMar>
          <w:top w:w="28" w:type="dxa"/>
          <w:left w:w="28" w:type="dxa"/>
          <w:bottom w:w="28" w:type="dxa"/>
          <w:right w:w="28" w:type="dxa"/>
        </w:tblCellMar>
      </w:tblPr>
      <w:tblGrid>
        <w:gridCol w:w="1725"/>
        <w:gridCol w:w="1282"/>
        <w:gridCol w:w="1292"/>
        <w:gridCol w:w="240"/>
        <w:gridCol w:w="702"/>
        <w:gridCol w:w="308"/>
        <w:gridCol w:w="109"/>
        <w:gridCol w:w="109"/>
        <w:gridCol w:w="109"/>
        <w:gridCol w:w="228"/>
        <w:gridCol w:w="666"/>
        <w:gridCol w:w="292"/>
        <w:gridCol w:w="109"/>
        <w:gridCol w:w="109"/>
        <w:gridCol w:w="109"/>
        <w:gridCol w:w="240"/>
        <w:gridCol w:w="702"/>
        <w:gridCol w:w="308"/>
        <w:gridCol w:w="109"/>
        <w:gridCol w:w="109"/>
        <w:gridCol w:w="109"/>
        <w:gridCol w:w="227"/>
        <w:gridCol w:w="664"/>
        <w:gridCol w:w="348"/>
      </w:tblGrid>
      <w:tr>
        <w:trPr/>
        <w:tc>
          <w:tcPr>
            <w:tcW w:w="172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30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9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30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3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&amp; Amortization (“EBITDA”)</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fixed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 of contract revenues</w:t>
            </w:r>
          </w:p>
        </w:tc>
        <w:tc>
          <w:tcPr>
            <w:tcW w:w="9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Through October 25, 2025, we reported our results under a single reportable segment. During the fourth quarter of fiscal 2026, in connection with the acquisition of Power Solutions, we reevaluated our reportable segments which resulted in the transition from a single reportable segment to two reportable segments: Communications and Building Systems. See Note 20,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for additional information. Common administrative support for operating companies require that certain allocations be made to determine segment profitability, including allocations of corporate shared and indirect operating costs, as well as general and administrative costs. Certain corporate costs are not allocated, including certain acquisition and integration costs, credit agreement and senior notes interest expense, interest income on invested balances and loss on debt extinguishment. The following table sets forth segment and consolidated contract revenues, segment and consolidated income before income taxes and segment and consolidated Non-GAAP Adjustment EBITDA for the periods indicated and the amounts as a percentage of segment and consolidated contract revenues, respectively, as well as the dollar and percentage change from the prior period (totals may not add due to rounding) (dollars in millions):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tbl>
      <w:tblPr>
        <w:tblW w:w="10172" w:type="dxa"/>
        <w:jc w:val="left"/>
        <w:tblInd w:w="0" w:type="dxa"/>
        <w:tblLayout w:type="fixed"/>
        <w:tblCellMar>
          <w:top w:w="28" w:type="dxa"/>
          <w:left w:w="28" w:type="dxa"/>
          <w:bottom w:w="28" w:type="dxa"/>
          <w:right w:w="28" w:type="dxa"/>
        </w:tblCellMar>
      </w:tblPr>
      <w:tblGrid>
        <w:gridCol w:w="1342"/>
        <w:gridCol w:w="1177"/>
        <w:gridCol w:w="1185"/>
        <w:gridCol w:w="211"/>
        <w:gridCol w:w="766"/>
        <w:gridCol w:w="109"/>
        <w:gridCol w:w="307"/>
        <w:gridCol w:w="309"/>
        <w:gridCol w:w="271"/>
        <w:gridCol w:w="109"/>
        <w:gridCol w:w="109"/>
        <w:gridCol w:w="109"/>
        <w:gridCol w:w="211"/>
        <w:gridCol w:w="766"/>
        <w:gridCol w:w="109"/>
        <w:gridCol w:w="308"/>
        <w:gridCol w:w="308"/>
        <w:gridCol w:w="271"/>
        <w:gridCol w:w="109"/>
        <w:gridCol w:w="109"/>
        <w:gridCol w:w="109"/>
        <w:gridCol w:w="211"/>
        <w:gridCol w:w="616"/>
        <w:gridCol w:w="109"/>
        <w:gridCol w:w="307"/>
        <w:gridCol w:w="309"/>
        <w:gridCol w:w="316"/>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93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contract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Non-Allocated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EBITDA: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Non-GAAP 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04"/>
        <w:gridCol w:w="1144"/>
        <w:gridCol w:w="1138"/>
        <w:gridCol w:w="211"/>
        <w:gridCol w:w="766"/>
        <w:gridCol w:w="109"/>
        <w:gridCol w:w="307"/>
        <w:gridCol w:w="309"/>
        <w:gridCol w:w="271"/>
        <w:gridCol w:w="109"/>
        <w:gridCol w:w="109"/>
        <w:gridCol w:w="109"/>
        <w:gridCol w:w="211"/>
        <w:gridCol w:w="766"/>
        <w:gridCol w:w="109"/>
        <w:gridCol w:w="308"/>
        <w:gridCol w:w="308"/>
        <w:gridCol w:w="271"/>
        <w:gridCol w:w="109"/>
        <w:gridCol w:w="109"/>
        <w:gridCol w:w="109"/>
        <w:gridCol w:w="211"/>
        <w:gridCol w:w="766"/>
        <w:gridCol w:w="109"/>
        <w:gridCol w:w="307"/>
        <w:gridCol w:w="309"/>
        <w:gridCol w:w="317"/>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93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contract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Non-Allocated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EBITDA: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Non-GAAP 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Communications Segment Results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Contract Revenues. </w:t>
      </w:r>
      <w:r>
        <w:rPr>
          <w:rFonts w:ascii="Times New Roman;serif" w:hAnsi="Times New Roman;serif"/>
          <w:b w:val="false"/>
          <w:color w:val="000000"/>
          <w:sz w:val="20"/>
        </w:rPr>
        <w:t xml:space="preserve">The increase in contract revenues for the three and six months ended August 1, 2026 compared to the three and six months ended July 26, 2025 was primarily due to net increases in fiber-to-the-home deployments, including rural fiber deployment programs.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Income before income taxes. </w:t>
      </w:r>
      <w:r>
        <w:rPr>
          <w:rFonts w:ascii="Times New Roman;serif" w:hAnsi="Times New Roman;serif"/>
          <w:b w:val="false"/>
          <w:color w:val="000000"/>
          <w:sz w:val="20"/>
        </w:rPr>
        <w:t>The decrease in income before income taxes for the three months ended August 1, 2026 compared to the three months ended July 26, 2025 was primarily due to the mix of work performed, general and administrative costs to scale our operations and lower gain on sales of fixed assets. The increase in income before income taxes for the six months ended August 1, 2026 compared to the six months ended July 26, 2025 was primarily due improved operating leverage resulting from higher contract revenues.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Non-GAAP Adjusted EBITDA. </w:t>
      </w:r>
      <w:r>
        <w:rPr>
          <w:rFonts w:ascii="Times New Roman;serif" w:hAnsi="Times New Roman;serif"/>
          <w:b w:val="false"/>
          <w:color w:val="000000"/>
          <w:sz w:val="20"/>
        </w:rPr>
        <w:t>The increase in Non-GAAP Adjusted EBITDA for the three and six months ended August 1, 2026 compared to the three and six months ended July 26, 2025 was primarily due to higher contract revenues.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Building Systems Segment Results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Contract Revenues. </w:t>
      </w:r>
      <w:r>
        <w:rPr>
          <w:rFonts w:ascii="Times New Roman;serif" w:hAnsi="Times New Roman;serif"/>
          <w:b w:val="false"/>
          <w:color w:val="000000"/>
          <w:sz w:val="20"/>
        </w:rPr>
        <w:t>The increase in contract revenues for the three and six months ended August 1, 2026 compared to the three and six months ended July 26, 2025 was due to revenues from the businesses acquired in fiscal 2026 and fiscal 2027.</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Income before income taxes. </w:t>
      </w:r>
      <w:r>
        <w:rPr>
          <w:rFonts w:ascii="Times New Roman;serif" w:hAnsi="Times New Roman;serif"/>
          <w:b w:val="false"/>
          <w:color w:val="000000"/>
          <w:sz w:val="20"/>
        </w:rPr>
        <w:t>The increase in income before income taxes for the three and six months ended August 1, 2026 compared to the three and six months ended July 26, 2025 was due to the businesses acquired in fiscal 2026 and fiscal 2027. Income before income taxes is impacted by amortization expense resulting from the application of acquisition accounting for the acquired businesses, which resulted in $48.1 million and $94.0 million of amortization expense for the three and six months ended August 1, 2026 associated with finite-lived intangible assets related to customer relationships, backlog and trade names identified during the preliminary purchase price allocation. We expect these non-cash charges to continue to impact segment operating results in future periods as the economic value of the acquired intangibles is realized.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Non-GAAP Adjusted EBITDA. </w:t>
      </w:r>
      <w:r>
        <w:rPr>
          <w:rFonts w:ascii="Times New Roman;serif" w:hAnsi="Times New Roman;serif"/>
          <w:b w:val="false"/>
          <w:color w:val="000000"/>
          <w:sz w:val="20"/>
        </w:rPr>
        <w:t>The increase in Non-GAAP Adjusted EBITDA for the three and six months ended August 1, 2026 compared to the three and six months ended July 26, 2025 was due to the results of the businesses acquired in fiscal 2026 and fiscal 2027.</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Corporate and Non-Allocated Costs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corporate and non-allocated costs during the three and six months ended August 1, 2026 compared to the three and six months ended July 26, 2025 resulted from increased interest expense.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concentrations of credit risk relating primarily to our cash and equivalents, accounts receivable, and contract assets. Cash and equivalents primarily include balances on deposit with banks and totaled $340.1 million as of August 1, 2026 compared to $709.2 million as of January 31, 2026. We maintain our cash and equivalents at financial institutions we believe to be of high credit quality. For all periods presented, we have not experienced any loss or lack of access to cash in our operating accounts.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pPr>
      <w:r>
        <w:rPr>
          <w:rFonts w:ascii="Times New Roman;serif" w:hAnsi="Times New Roman;serif"/>
          <w:b w:val="false"/>
          <w:i/>
          <w:color w:val="000000"/>
          <w:sz w:val="20"/>
        </w:rPr>
        <w:t>Sources of Cash.</w:t>
      </w:r>
      <w:r>
        <w:rPr>
          <w:color w:val="000000"/>
        </w:rPr>
        <w:t xml:space="preserve"> </w:t>
      </w:r>
      <w:r>
        <w:rPr>
          <w:rFonts w:ascii="Times New Roman;serif" w:hAnsi="Times New Roman;serif"/>
          <w:b w:val="false"/>
          <w:color w:val="000000"/>
          <w:sz w:val="20"/>
        </w:rPr>
        <w:t>Our sources of cash are operating activities, long-term debt, equity offerings, bank borrowings, proceeds from the sale of idle and surplus equipment and real property, and stock option proceeds. Cash flow from operations is primarily influenced by demand for our services and operating margins, but can also be influenced by working capital needs associated with the services that we provide. In particular, working capital needs may increase when we have growth in operations and where project costs, primarily associated with labor, subcontractors, equipment, and materials, are required to be paid before the related customer balances owed to us are invoiced and collected. Our working capital (total current assets less total current liabilities, excluding the current portion of debt) was $1,780.8 million as of August 1, 2026 compared to $1,754.0 million as of January 31, 2026.</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Capital resources are used primarily to purchase equipment and maintain sufficient levels of working capital to support our contractual commitments to customers. We periodically draw upon and repay our revolving credit facility depending on our cash requirements. We currently intend to retain any earnings for use in the business and other capital allocation strategies which may include investment in acquisitions and share repurchases. Consequently, we do not anticipate paying any cash dividends on our common stock in the foreseeable future.</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level of capital expenditures can vary depending on the customer demand for our services, the replacement cycle we select for our equipment, and overall growth. We intend to fund these expenditures primarily from operating cash flows, availability under our Credit Agreement (as defined below), and cash on hand.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Sufficiency of Capital Resources.</w:t>
      </w:r>
      <w:r>
        <w:rPr>
          <w:color w:val="000000"/>
        </w:rPr>
        <w:t xml:space="preserve"> </w:t>
      </w:r>
      <w:r>
        <w:rPr>
          <w:rFonts w:ascii="Times New Roman;serif" w:hAnsi="Times New Roman;serif"/>
          <w:b w:val="false"/>
          <w:color w:val="000000"/>
          <w:sz w:val="20"/>
        </w:rPr>
        <w:t xml:space="preserve">We believe that our capital resources, including existing cash balances and amounts available under our Credit Agreement, are sufficient to meet our financial obligations. These obligations include payments on our debt, working capital requirements, and the purchase of equipment at our expected level of operations for at least the next 12 months. Our capital requirements may increase to the extent we seek to grow by acquisitions that involve consideration other than our stock, experience difficulty or delays in collecting amounts owed to us by our customers, increase our working capital in connection with new or existing customer programs, or we repurchase our common stock, or repay Credit Agreement borrowings. Changes in financial markets or other components of the economy could adversely impact our ability to access the capital markets, in which case we would expect to rely on a combination of available cash and our Credit Agreement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short-term funding. Management regularly monitors the financial markets and assesses general economic conditions for possible impact on our financial position. We believe our cash investment policies are prudent and expect that any volatility in the capital markets would not have a material impact on our cash investments.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 xml:space="preserve">Acquisition of Power Solutions, LLC (“Power Solutions”). </w:t>
      </w:r>
      <w:r>
        <w:rPr>
          <w:rFonts w:ascii="Times New Roman;serif" w:hAnsi="Times New Roman;serif"/>
          <w:b w:val="false"/>
          <w:color w:val="000000"/>
          <w:sz w:val="20"/>
        </w:rPr>
        <w:t xml:space="preserve">On November 18, 2025, the Company entered into an agreement to acquire Power Solutions for a purchase price of $1.95 billion. Power Solutions specializes in providing electrical infrastructure solutions for data centers and other critical facilities. See Note 5, </w:t>
      </w:r>
      <w:r>
        <w:rPr>
          <w:rFonts w:ascii="Times New Roman;serif" w:hAnsi="Times New Roman;serif"/>
          <w:b w:val="false"/>
          <w:i/>
          <w:color w:val="000000"/>
          <w:sz w:val="20"/>
        </w:rPr>
        <w:t>Acquisitions</w:t>
      </w:r>
      <w:r>
        <w:rPr>
          <w:rFonts w:ascii="Times New Roman;serif" w:hAnsi="Times New Roman;serif"/>
          <w:b w:val="false"/>
          <w:color w:val="000000"/>
          <w:sz w:val="20"/>
        </w:rPr>
        <w:t xml:space="preserve">, for additional information regarding the acquisition. </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erif" w:hAnsi="Times New Roman;serif"/>
          <w:b w:val="false"/>
          <w:i/>
          <w:color w:val="000000"/>
          <w:sz w:val="20"/>
        </w:rPr>
        <w:t xml:space="preserve">Acquisition of National Technology Integrators. </w:t>
      </w:r>
      <w:r>
        <w:rPr>
          <w:rFonts w:ascii="Times New Roman;serif" w:hAnsi="Times New Roman;serif"/>
          <w:b w:val="false"/>
          <w:color w:val="000000"/>
          <w:sz w:val="20"/>
        </w:rPr>
        <w:t xml:space="preserve">During the second quarter of fiscal 2027, we acquired National Technology Integrators, a low-voltage engineering and construction firm based in Maryland, for a purchase price of $275.0 million See Note 5, </w:t>
      </w:r>
      <w:r>
        <w:rPr>
          <w:rFonts w:ascii="Times New Roman;serif" w:hAnsi="Times New Roman;serif"/>
          <w:b w:val="false"/>
          <w:i/>
          <w:color w:val="000000"/>
          <w:sz w:val="20"/>
        </w:rPr>
        <w:t>Acquisitions</w:t>
      </w:r>
      <w:r>
        <w:rPr>
          <w:rFonts w:ascii="Times New Roman;serif" w:hAnsi="Times New Roman;serif"/>
          <w:b w:val="false"/>
          <w:color w:val="000000"/>
          <w:sz w:val="20"/>
        </w:rPr>
        <w:t xml:space="preserve">, for additional information regarding the acquisition.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Net Cash Flows. </w:t>
      </w:r>
      <w:r>
        <w:rPr>
          <w:rFonts w:ascii="Times New Roman;serif" w:hAnsi="Times New Roman;serif"/>
          <w:b w:val="false"/>
          <w:color w:val="000000"/>
          <w:sz w:val="20"/>
        </w:rPr>
        <w:t>The following table presents our net cash flows for the six months ended August 1, 2026 and July 26, 2025 (dollars in millions):</w:t>
      </w:r>
    </w:p>
    <w:tbl>
      <w:tblPr>
        <w:tblW w:w="6475" w:type="dxa"/>
        <w:jc w:val="left"/>
        <w:tblInd w:w="0" w:type="dxa"/>
        <w:tblLayout w:type="fixed"/>
        <w:tblCellMar>
          <w:top w:w="28" w:type="dxa"/>
          <w:left w:w="28" w:type="dxa"/>
          <w:bottom w:w="28" w:type="dxa"/>
          <w:right w:w="28" w:type="dxa"/>
        </w:tblCellMar>
      </w:tblPr>
      <w:tblGrid>
        <w:gridCol w:w="1269"/>
        <w:gridCol w:w="1118"/>
        <w:gridCol w:w="1123"/>
        <w:gridCol w:w="281"/>
        <w:gridCol w:w="923"/>
        <w:gridCol w:w="145"/>
        <w:gridCol w:w="109"/>
        <w:gridCol w:w="109"/>
        <w:gridCol w:w="109"/>
        <w:gridCol w:w="257"/>
        <w:gridCol w:w="844"/>
        <w:gridCol w:w="188"/>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w:t>
            </w:r>
          </w:p>
        </w:tc>
        <w:tc>
          <w:tcPr>
            <w:tcW w:w="13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Provided by operating activities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investing activities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provided by financing activities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i/>
          <w:color w:val="000000"/>
          <w:sz w:val="20"/>
        </w:rPr>
        <w:t>Cash Provided by Operating Activities.</w:t>
      </w:r>
      <w:r>
        <w:rPr>
          <w:color w:val="000000"/>
        </w:rPr>
        <w:t xml:space="preserve"> </w:t>
      </w:r>
      <w:r>
        <w:rPr>
          <w:rFonts w:ascii="Times New Roman;serif" w:hAnsi="Times New Roman;serif"/>
          <w:b w:val="false"/>
          <w:color w:val="000000"/>
          <w:sz w:val="20"/>
        </w:rPr>
        <w:t>Depreciation and amortization, non-cash lease expense, stock-based compensation, amortization of debt issuance costs, deferred income taxes, gain on sale of fixed assets and provision for (recovery of) bad debt were the primary non-cash items in cash flows from operating activities during the current and prior periods.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August 1, 2026, net cash provided by operating activities was $79.1 million. Changes in working capital (excluding cash) and changes in other long-term assets and liabilities used $428.1 million of operating cash flow during the six months ended August 1, 2026. Changes that used operating cash flow during the six months ended August 1, 2026 included increases in accounts receivable, contract assets, net, other current assets and inventories and other assets of $520.8 million, $30.3 million, $27.3 million, and $10.9 million, respectively. The increase in accounts receivable is attributable to growth in the business, including acquired balances. Changes that provided cash flow during the six months ended August 1, 2026 included an increase in accounts payable and accrued liabilities, of $117.5 million and $41.5 million, respectively, and a decrease in income taxes receivable $2.0 million.</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Days sales outstanding (“DSO”) is calculated based on the ending balance of total current and non-current accounts receivable (including unbilled accounts receivable), net of the allowance for credit losses, and current contract assets, net of contract liabilities, divided by the average daily revenue for the most recently completed quarter. Our DSO was 101 as of August 1, 2026 compared to 108 as of July 26, 2025. DSO as of August 1, 2026 is calculated on a pro forma basis by adjusting contract revenues during the second quarter of fiscal 2027 to include the historical contract revenues of the business acquired in fiscal 2027 as if such acquisition had occurred as of the beginning of the fiscal quarter.</w:t>
      </w:r>
    </w:p>
    <w:p>
      <w:pPr>
        <w:pStyle w:val="TextBody"/>
        <w:bidi w:val="0"/>
        <w:spacing w:lineRule="auto" w:line="288" w:before="0" w:after="0"/>
        <w:ind w:left="0" w:right="0" w:firstLine="360"/>
        <w:jc w:val="left"/>
        <w:rPr/>
      </w:pPr>
      <w:r>
        <w:rPr>
          <w:rFonts w:ascii="Times New Roman;serif" w:hAnsi="Times New Roman;serif"/>
          <w:b w:val="false"/>
          <w:color w:val="000000"/>
          <w:sz w:val="20"/>
        </w:rPr>
        <w:t>See Note 6,</w:t>
      </w:r>
      <w:r>
        <w:rPr>
          <w:color w:val="000000"/>
        </w:rPr>
        <w:t xml:space="preserve"> </w:t>
      </w:r>
      <w:r>
        <w:rPr>
          <w:rFonts w:ascii="Times New Roman;serif" w:hAnsi="Times New Roman;serif"/>
          <w:b w:val="false"/>
          <w:i/>
          <w:color w:val="000000"/>
          <w:sz w:val="20"/>
        </w:rPr>
        <w:t>Accounts Receivable, Contract Assets, and Contract Liabilities</w:t>
      </w:r>
      <w:r>
        <w:rPr>
          <w:rFonts w:ascii="Times New Roman;serif" w:hAnsi="Times New Roman;serif"/>
          <w:b w:val="false"/>
          <w:color w:val="000000"/>
          <w:sz w:val="20"/>
        </w:rPr>
        <w:t xml:space="preserve">, for further information on our customer credit concentration as of August 1, 2026 and January 31, 2026 and Note 19, </w:t>
      </w:r>
      <w:r>
        <w:rPr>
          <w:rFonts w:ascii="Times New Roman;serif" w:hAnsi="Times New Roman;serif"/>
          <w:b w:val="false"/>
          <w:i/>
          <w:color w:val="000000"/>
          <w:sz w:val="20"/>
        </w:rPr>
        <w:t>Customer Concentration and Revenue Information,</w:t>
      </w:r>
      <w:r>
        <w:rPr>
          <w:color w:val="000000"/>
        </w:rPr>
        <w:t xml:space="preserve"> </w:t>
      </w:r>
      <w:r>
        <w:rPr>
          <w:rFonts w:ascii="Times New Roman;serif" w:hAnsi="Times New Roman;serif"/>
          <w:b w:val="false"/>
          <w:color w:val="000000"/>
          <w:sz w:val="20"/>
        </w:rPr>
        <w:t xml:space="preserve">for further information on our significant customers. We believe that none of our significant customers were experiencing financial difficulties that would materially impact the collectability of our total accounts receivable and contract assets, net as of August 1, 2026 or January 31,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July 26, 2025, net cash provided by operating activities was $3.5 million. Changes in working capital (excluding cash) and changes in other long-term assets and liabilities used $335.7 million of operating cash flow during the six months ended July 26, 2025. Changes that used operating cash flow during the six months ended July 26, 2025 included increases in accounts receivable, income taxes receivables, contract assets, net, other assets, and other current assets and inventories of $216.0 million, $63.5 million, $59.9 million, $23.6 million, and $7.1 million, respectively and a decrease in accrued liabilities, net of $15.2 million. Changes that provided cash flow during the six months ended July 26, 2025 included an increase in accounts payable of $49.6 million.</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pPr>
      <w:r>
        <w:rPr>
          <w:rFonts w:ascii="Times New Roman;serif" w:hAnsi="Times New Roman;serif"/>
          <w:b w:val="false"/>
          <w:i/>
          <w:color w:val="000000"/>
          <w:sz w:val="20"/>
        </w:rPr>
        <w:t>Cash Used in Investing Activities.</w:t>
      </w:r>
      <w:r>
        <w:rPr>
          <w:color w:val="000000"/>
        </w:rPr>
        <w:t xml:space="preserve"> </w:t>
      </w:r>
      <w:r>
        <w:rPr>
          <w:rFonts w:ascii="Times New Roman;serif" w:hAnsi="Times New Roman;serif"/>
          <w:b w:val="false"/>
          <w:color w:val="000000"/>
          <w:sz w:val="20"/>
        </w:rPr>
        <w:t xml:space="preserve">Net cash used in investing activities was $371.6 million during the six months ended August 1, 2026 compared to $107.7 million during the six months ended July 26, 2025. During the six months ended August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2026 and July 26, 2025, capital expenditures were $139.8 million and $131.2 million, respectively, and cash paid for current and previous acquisitions during the six months ended August 1, 2026 was $238.3 million. These expenditures were offset in part by proceeds from the sale of assets of $6.5 million and $23.5 million during the six months ended August 1, 2026 and July 26, 2025, respectively.</w:t>
      </w:r>
    </w:p>
    <w:p>
      <w:pPr>
        <w:pStyle w:val="TextBody"/>
        <w:bidi w:val="0"/>
        <w:spacing w:lineRule="auto" w:line="288" w:before="0" w:after="0"/>
        <w:ind w:left="0" w:right="0" w:firstLine="360"/>
        <w:jc w:val="left"/>
        <w:rPr/>
      </w:pPr>
      <w:r>
        <w:rPr>
          <w:rFonts w:ascii="Times New Roman;serif" w:hAnsi="Times New Roman;serif"/>
          <w:b w:val="false"/>
          <w:i/>
          <w:color w:val="000000"/>
          <w:sz w:val="20"/>
        </w:rPr>
        <w:t>Cash (Used in) Provided by Financing Activities.</w:t>
      </w:r>
      <w:r>
        <w:rPr>
          <w:color w:val="000000"/>
        </w:rPr>
        <w:t xml:space="preserve"> </w:t>
      </w:r>
      <w:r>
        <w:rPr>
          <w:rFonts w:ascii="Times New Roman;serif" w:hAnsi="Times New Roman;serif"/>
          <w:b w:val="false"/>
          <w:color w:val="000000"/>
          <w:sz w:val="20"/>
        </w:rPr>
        <w:t>Net cash used in financing activities was $76.6 million during the six months ended August 1, 2026. During the six months ended August 1, 2026, we repurchased 100,000 shares of our common stock in open market transactions, at an average price of $359.63 per share, for $36.0 million. We also paid $29.4 million, net to tax authorities in order to meet the payroll tax withholding obligations on restricted share units that vested during the six months ended August 1, 2026. In addition, we repaid debt assumed in acquisitions of $8.4 million, and we paid $2.7 million, net, to tax authorities for payroll tax withholding obligations on the exercise of stock options and $0.1 million in issuance costs and third party fees related to our financing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$39.9 million during the six months ended July 26, 2025. During the six months ended July 26, 2025, borrowings and repayments under our Credit Agreement were $629.0 million and $544.0 million, respectively. In addition, we repurchased 200,000 shares of our common stock in open market transactions, at an average price of $150.93 per share, for $30.2 million, during the six months ended July 26, 2025. We also paid $13.0 million to tax authorities in order to meet the payroll tax withholding obligations on restricted share units that vested during the six months ended July 26, 2025. In addition, we paid $1.9 million, net, to tax authorities for payroll tax withholding obligations on the exercise of stock options.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 xml:space="preserve">Compliance with Credit Agreement. </w:t>
      </w:r>
      <w:r>
        <w:rPr>
          <w:rFonts w:ascii="Times New Roman;serif" w:hAnsi="Times New Roman;serif"/>
          <w:b w:val="false"/>
          <w:color w:val="000000"/>
          <w:sz w:val="20"/>
        </w:rPr>
        <w:t xml:space="preserve">The Company and certain of its subsidiaries are party to that certain Third Amended and Restated Credit Agreement, dated as of December 23, 2025 (as amended by that certain First Amendment to the Third Amended and Restated Credit Agreement, dated as of January 27, 2026, the “Credit Agreement”) by and among, the Company, the Guarantors (as defined therein) from time to time party thereto, the Lenders (as defined therein) from time to time party thereto and Bank of America, N.A., as administrative and collateral agent (in such capacities, the “Administrative Agent”). The Credit Agreement includes a revolving facility with a maximum revolver commitment of $800.0 million(the “Revolving Credit Facility”), a term loan A facility (the “Term Loan A Facility”) in the original principal amount of $1,540.0 million, and a term loan B facility (the “Term Loan B Facility”) in the original principal amount of $800.0 million. The Credit Agreement also includes a $225.0 million sublimit for the issuance of letters of credit and a $50.0 million sublimit for swingline loans. The maturity of the Revolving Credit Facility and Term Loan A Facility is December 23, 2030. The maturity of the Term Loan B Facility is January 27, 2033.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$927.0 million and (ii) an aggregate amount such that, after giving effect to such incremental facilities on a pro forma basis (assuming that the amount of the incremental commitments are fully drawn and funded), the consolidated senior secured net leverage ratio does not exceed 3.50 to 1.00. The consolidated senior secured net leverage ratio is the ratio (a)(i) of our consolidated senior secured indebtedness reduced by (ii) unrestricted cash and equivalents in excess of $25.0 million to (b) to our trailing four-quarter consolidated earnings before interest, taxes, depreciation, and amortization, as defined by the Credit Agreement (“EBITDA”). Borrowings under the Credit Agreement are guaranteed by substantially all of our domestic subsidiaries and secured by substantially all of the assets of the Borrowers and the Guarantors (subject to customary exceptions).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our Credit Agreement, borrowings bear interest at the rates described below based upon our consolidated net leverage ratio, which is the ratio of our consolidated total funded debt reduced by unrestricted cash and equivalents in excess of $25.0 million to our trailing four-quarter consolidated EBITDA. In addition, we incur certain fees for unused balances and letters of credit at the rates described below, also based upon our consolidated net leverage ratio. The weighted average interest rates and fees for balances under our Credit Agreement as of August 1, 2026 and January 31, 2026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tbl>
      <w:tblPr>
        <w:tblW w:w="9744" w:type="dxa"/>
        <w:jc w:val="left"/>
        <w:tblInd w:w="0" w:type="dxa"/>
        <w:tblLayout w:type="fixed"/>
        <w:tblCellMar>
          <w:top w:w="28" w:type="dxa"/>
          <w:left w:w="28" w:type="dxa"/>
          <w:bottom w:w="28" w:type="dxa"/>
          <w:right w:w="28" w:type="dxa"/>
        </w:tblCellMar>
      </w:tblPr>
      <w:tblGrid>
        <w:gridCol w:w="1043"/>
        <w:gridCol w:w="916"/>
        <w:gridCol w:w="921"/>
        <w:gridCol w:w="934"/>
        <w:gridCol w:w="934"/>
        <w:gridCol w:w="937"/>
        <w:gridCol w:w="450"/>
        <w:gridCol w:w="450"/>
        <w:gridCol w:w="450"/>
        <w:gridCol w:w="358"/>
        <w:gridCol w:w="358"/>
        <w:gridCol w:w="358"/>
        <w:gridCol w:w="479"/>
        <w:gridCol w:w="479"/>
        <w:gridCol w:w="677"/>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Rate End of Period</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10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 Term A SOFR Loans</w:t>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1.375% - 2.00% plus Term SOFR</w:t>
            </w:r>
          </w:p>
        </w:tc>
        <w:tc>
          <w:tcPr>
            <w:tcW w:w="135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5.43%</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 Base Rate Loans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0.375% - 1.00% plus Base rate</w:t>
            </w:r>
            <w:r>
              <w:rPr>
                <w:rFonts w:ascii="Times New Roman;serif" w:hAnsi="Times New Roman;serif"/>
                <w:b w:val="false"/>
                <w:color w:val="000000"/>
                <w:sz w:val="13"/>
              </w:rPr>
              <w:t>(1)</w:t>
            </w:r>
            <w:r>
              <w:rPr>
                <w:color w:val="000000"/>
              </w:rPr>
              <w:t xml:space="preserve"> </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 Term B SOFR Loans</w:t>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1.75% plus Term SOFR</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5.43%</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Revolver Commitment</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0.20% - 0.40%</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Standby Letters of Credit</w:t>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1.375% - 2.00%</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Letters of Credit</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0.6875% - 1.00%</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Base rate is described in the Credit Agreement as the highest of (i) the Federal Funds Rate plus 0.50%, (ii) the Administrative Agent’s prime rate, and (iii) the Term Secured Overnight Financing Rate (“SOFR”) plus 1.00% and, if such rate is less than zero, such rate shall be deemed zero. There were no outstanding borrowings under our revolving facility as of August 1, 2026 and January 31,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Standby letters of credit of approximately $53.6 million issued as part of our insurance program, were outstanding under our Credit Agreement as of both August 1, 2026 and January 31,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Agreement contains a financial covenant that requires us to maintain a maximum consolidated net leverage ratio of not greater than (A) until the last day of the first fiscal quarter ending after the second anniversary of December 23, 2025, 4.50 to 1.00, and (B) thereafter, 4.00:1.00, as measured at the end of each fiscal quarter, and provides for certain increases to this ratio in connection with permitted acquisitions. The agreement also contains a financial covenant that requires us to maintain a minimum consolidated interest coverage ratio, which is the ratio of our trailing four-quarter consolidated EBITDA to our consolidated interest expense, as defined by our Credit Agreement, of not less than 2.50 to 1.00, as measured at the end of each fiscal quarter. At August 1, 2026 and January 31, 2026, we were in compliance with the financial covenants of our Credit Agreement and had borrowing availability under our revolving facility of $746.4 million.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Performance and Payment Bonds and Guarantees. </w:t>
      </w:r>
      <w:r>
        <w:rPr>
          <w:rFonts w:ascii="Times New Roman;serif" w:hAnsi="Times New Roman;serif"/>
          <w:b w:val="false"/>
          <w:color w:val="000000"/>
          <w:sz w:val="20"/>
        </w:rPr>
        <w:t>We have obligations under performance and other surety contract bonds related to certain of our customer contracts. Performance bonds generally provide a customer with the right to obtain payment and/or performance from the issuer of the bond if we fail to perform our contractual obligations. We had $1,215.8 million and $917.9 million of outstanding performance and other surety contract bonds, as of August 1, 2026 and January 31, 2026, respectively. The estimated cost to complete projects secured by our outstanding performance and other surety contract bonds was approximately $716.1 million as of August 1, 2026. In addition to performance and other surety contract bonds, as part of our insurance program we also provide surety bonds that collateralize our obligations to our insurance carriers. As of August 1, 2026 and January 31, 2026, we had $43.8 million and $31.0 million, respectively, of outstanding surety bonds related to our insurance obligations. Additionally, we have periodically guaranteed certain obligations of our subsidiaries, including obligations in connection with obtaining state contractor licenses and leasing real property and equipment.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i/>
          <w:color w:val="000000"/>
          <w:sz w:val="20"/>
        </w:rPr>
        <w:t>Letters of Credit.</w:t>
      </w:r>
      <w:r>
        <w:rPr>
          <w:color w:val="000000"/>
        </w:rPr>
        <w:t xml:space="preserve"> </w:t>
      </w:r>
      <w:r>
        <w:rPr>
          <w:rFonts w:ascii="Times New Roman;serif" w:hAnsi="Times New Roman;serif"/>
          <w:b w:val="false"/>
          <w:color w:val="000000"/>
          <w:sz w:val="20"/>
        </w:rPr>
        <w:t xml:space="preserve">We have standby letters of credit issued under our Credit Agreement as part of our insurance program. These letters of credit collateralize obligations to our insurance carriers in connection with the settlement of potential claims. In connection with these collateral obligations, we had $53.6 million outstanding standby letters of credit issued under our Credit Agreement as of August 1, 2026 and January 31,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i/>
          <w:color w:val="000000"/>
          <w:sz w:val="20"/>
        </w:rPr>
        <w:t>Backlog.</w:t>
      </w:r>
      <w:r>
        <w:rPr>
          <w:color w:val="000000"/>
        </w:rPr>
        <w:t xml:space="preserve"> </w:t>
      </w:r>
      <w:r>
        <w:rPr>
          <w:rFonts w:ascii="Times New Roman;serif" w:hAnsi="Times New Roman;serif"/>
          <w:b w:val="false"/>
          <w:color w:val="000000"/>
          <w:sz w:val="20"/>
        </w:rPr>
        <w:t xml:space="preserve">Backlog is not a measure defined by United States generally accepted accounting principles (“GAAP”) and should be considered in addition to, but not as a substitute for, GAAP results. Participants in our industry often disclose a calculation of their backlog; however, our methodology for determining backlog may not be comparable to the methodologies used by others. We utilize our calculation of backlog to assist in measuring aggregate awards under existing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relationships with our customers. We believe our backlog disclosures will assist investors in better understanding this estimate of the services to be performed pursuant to awards by our customers under existing contractual relationships.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backlog is an estimate of the uncompleted portion of services to be performed under contractual agreements with our customers and totaled $12.242 billion and $9.542 billion at August 1, 2026 and January 31, 2026, respectively. We expect to complete 52.9% of the August 1, 2026 total backlog during the next twelve months (dollars in millions).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58"/>
        <w:gridCol w:w="491"/>
        <w:gridCol w:w="492"/>
        <w:gridCol w:w="244"/>
        <w:gridCol w:w="836"/>
        <w:gridCol w:w="126"/>
        <w:gridCol w:w="109"/>
        <w:gridCol w:w="109"/>
        <w:gridCol w:w="109"/>
        <w:gridCol w:w="593"/>
        <w:gridCol w:w="1732"/>
        <w:gridCol w:w="306"/>
        <w:gridCol w:w="109"/>
        <w:gridCol w:w="109"/>
        <w:gridCol w:w="109"/>
        <w:gridCol w:w="262"/>
        <w:gridCol w:w="766"/>
        <w:gridCol w:w="135"/>
        <w:gridCol w:w="109"/>
        <w:gridCol w:w="109"/>
        <w:gridCol w:w="109"/>
        <w:gridCol w:w="575"/>
        <w:gridCol w:w="1681"/>
        <w:gridCol w:w="427"/>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Backlog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Next 12 Months (included in Total 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Backlog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Next 12 Months (included in Total Backlog)</w:t>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10,983 </w:t>
            </w:r>
          </w:p>
        </w:tc>
        <w:tc>
          <w:tcPr>
            <w:tcW w:w="1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30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3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which are commonly used within our Communications segment, backlog is estimated based on the work performed in the preceding 12-month period, when applicable. When estimating backlog for newly initiated master service agreements and other long and short-term contracts, we also consider the anticipated scope of the contract and information received from the customer during the procurement process and, where applicable, other ancillary information. Building Systems segment backlog represents management’s estimate of contract revenues expected to be realized related to remaining performance obligations from the portion of firm orders under fixed price and modified fixed-price contracts not yet completed or for which work has not yet begun. The majority of our backlog comprises services under master service agreements and other long-term contracts.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Many of our contracts may be cancelled by our customers, or work previously awarded to us pursuant to these contracts may be cancelled, regardless of whether or not we are in default. The amount of backlog related to uncompleted projects in which a provision for estimated losses was recorded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rFonts w:ascii="Times New Roman;serif" w:hAnsi="Times New Roman;serif"/>
          <w:b/>
          <w:i/>
          <w:color w:val="000000"/>
          <w:sz w:val="20"/>
        </w:rPr>
        <w:t>.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our quantitative and qualitative disclosures about market risk during the three months ended August 1, 2026. Our primary exposure to market risk relates to unfavorable changes in interest rates. Refer to the information on financial market risk related to changes in interest rates in Item 7A. Quantitative and Qualitative Disclosures About Market Risk of Part II of our Fiscal 2026 Annual Report.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carried out an evaluation under the supervision and with the participation of the Company’s management, including the Company’s Chief Executive Officer and its Chief Financial Officer, of the effectiveness of the design and operation of the Company’s disclosure controls and procedures (as defined in Rule 13a-15(e) under the Securities Exchange Act of 1934 (the “Exchange Act”)) as of August 1, 2026, the end of the period covered by this Quarterly Report on Form 10-Q. Based on this evaluation, the Chief Executive Officer and Chief Financial Officer concluded that, as of August 1, 2026, the Company’s disclosure controls and procedures are effective to provide reasonable assurance that information required to be disclosed by the Company in the reports that it files or submits under the Exchange Act is (1) recorded, processed, summarized and reported within the time periods specified by the Securities and Exchange Commission’s rules and forms,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accumulated and communicated to the Company’s management, including the Company’s Chief Executive Officer and Chief Financial Officer, in a manner that allows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SEC’s general guidance permits the exclusion of an assessment of the effectiveness of a registrant’s disclosure controls and procedures as they relate to its internal control over financial reporting for an acquired business during the first year following such acquisition if, among other circumstances and factors, there is not adequate time between the acquisition date and the date of assessment. As previously noted in this Form 10-Q, we acquired National Technology Integrators during the second quarter of fiscal 2027. This acquisition represents approximately 1.8% of our total assets (excluding goodwill and other identifiable intangibles, which are included within the scope of the assessment) as of August 1, 2026 and 0.6% of our total contract revenues for the six months ended August 1, 2026. See Note 5, Acquisitions, of the Notes to the Condensed Consolidated Financial Statements for additional information regarding the acquisition. Management’s assessment and conclusion on the effectiveness of the Company’s disclosure controls and procedures as of August 1, 2026 excludes an assessment of internal control over financial reporting of National Technology Integrators.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 the process of implementing an Enterprise Resource Planning (ERP) system to upgrade and standardize our information technology systems. This implementation is expected to occur in phases over the next two years. In the current quarter, we completed the deployment of several modules of the ERP. We have made changes to our internal control over financial reporting to address the related processes and systems. We will continue to evaluate any further changes in our internal control over financial reporting over the course of the implementation of the new ERP and other related systems. There were no other changes in the Company’s internal control over financial reporting (as defined in Rule 13a-15(f) under the Exchange Act) that occurred during the Company’s most recent fiscal quarter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both"/>
        <w:rPr/>
      </w:pPr>
      <w:r>
        <w:rPr/>
      </w:r>
    </w:p>
    <w:p>
      <w:pPr>
        <w:pStyle w:val="TextBody"/>
        <w:bidi w:val="0"/>
        <w:spacing w:lineRule="auto" w:line="276" w:before="0" w:after="0"/>
        <w:ind w:left="0" w:right="0" w:firstLine="360"/>
        <w:jc w:val="left"/>
        <w:rPr/>
      </w:pPr>
      <w:r>
        <w:rPr>
          <w:rFonts w:ascii="Times New Roman;serif" w:hAnsi="Times New Roman;serif"/>
          <w:b w:val="false"/>
          <w:color w:val="000000"/>
          <w:sz w:val="20"/>
        </w:rPr>
        <w:t xml:space="preserve">Refer to Note 21,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 the Notes to the Condensed Consolidated Financial Statements in this Quarterly Report on Form 10</w:t>
        <w:noBreakHyphen/>
        <w:t>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1A</w:t>
      </w:r>
      <w:r>
        <w:rPr>
          <w:rFonts w:ascii="Times New Roman;serif" w:hAnsi="Times New Roman;serif"/>
          <w:b/>
          <w:i/>
          <w:color w:val="000000"/>
          <w:sz w:val="20"/>
        </w:rPr>
        <w:t>.</w:t>
      </w:r>
      <w:r>
        <w:rPr>
          <w:color w:val="000000"/>
        </w:rPr>
        <w:t xml:space="preserve">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a variety of risks and uncertainties. These risks are described elsewhere in this Quarterly Report on Form 10-Q or our other filings with the U.S. Securities and Exchange Commission, including Part I, Item 1A of our Annual Report on Form 10-K for the fiscal year ended January 31, 2026. The risks identified in such reports have not changed in any material respect.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During the three months ended August 1, 2026, in connection with the closing of the acquisition of National Technology Integrators, the Company issued 95,550 shares of its common stock valued at approximately $45.0 million to the seller and certain designated recipients as partial consideration for the acquisition. The stock consideration was issued in reliance on the exemption from registration provided by Section 4(a)(2) of the Securities Act and/or Regulation D promulgated thereunder.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The following table summarizes the Company’s purchase of its common stock during the three months ended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 2026:</w:t>
      </w:r>
    </w:p>
    <w:tbl>
      <w:tblPr>
        <w:tblW w:w="10205" w:type="dxa"/>
        <w:jc w:val="left"/>
        <w:tblInd w:w="0" w:type="dxa"/>
        <w:tblLayout w:type="fixed"/>
        <w:tblCellMar>
          <w:top w:w="28" w:type="dxa"/>
          <w:left w:w="28" w:type="dxa"/>
          <w:bottom w:w="28" w:type="dxa"/>
          <w:right w:w="28" w:type="dxa"/>
        </w:tblCellMar>
      </w:tblPr>
      <w:tblGrid>
        <w:gridCol w:w="504"/>
        <w:gridCol w:w="362"/>
        <w:gridCol w:w="363"/>
        <w:gridCol w:w="109"/>
        <w:gridCol w:w="109"/>
        <w:gridCol w:w="109"/>
        <w:gridCol w:w="486"/>
        <w:gridCol w:w="486"/>
        <w:gridCol w:w="488"/>
        <w:gridCol w:w="109"/>
        <w:gridCol w:w="109"/>
        <w:gridCol w:w="109"/>
        <w:gridCol w:w="359"/>
        <w:gridCol w:w="691"/>
        <w:gridCol w:w="187"/>
        <w:gridCol w:w="109"/>
        <w:gridCol w:w="109"/>
        <w:gridCol w:w="109"/>
        <w:gridCol w:w="823"/>
        <w:gridCol w:w="823"/>
        <w:gridCol w:w="825"/>
        <w:gridCol w:w="109"/>
        <w:gridCol w:w="109"/>
        <w:gridCol w:w="109"/>
        <w:gridCol w:w="729"/>
        <w:gridCol w:w="729"/>
        <w:gridCol w:w="1042"/>
      </w:tblGrid>
      <w:tr>
        <w:trPr/>
        <w:tc>
          <w:tcPr>
            <w:tcW w:w="5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of Shares that May Yet Be Purchased Under the Plans or Programs</w:t>
            </w:r>
          </w:p>
        </w:tc>
      </w:tr>
      <w:tr>
        <w:trPr/>
        <w:tc>
          <w:tcPr>
            <w:tcW w:w="12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28, 2026 - August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There were no share repurchases during the three months ended August 1, 2026. On February 26, 2025, the Company announced that its Board of Directors authorized a new $150 million program to repurchase shares of the Company’s outstanding common stock through August 25, 2026 in open market or private transactions. During the three months ended May 2, 2026, the Company repurchased 100,000 shares of common stock, at an average price of $359.63, for $36.0 million. As of August 1, 2026, $83.9 million of the authorization was available for repurchases. On August 26, 2026 the Company announced that its Board of Directors had authorized a new $150.0 million program to repurchase shares of the Company’s outstanding common stock through February 2028 in open market or private transactions. The new authorization replaces the remaining $83.9 million that was available under the prior authorization. As of August 27, 2026, the full $150.0 million of the new authorization was available for repurchases.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 Rule 10b5-1 and Non-Rule 10b5-1 Trading Arrangements by our Directors and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August 1, 2026, none of our directors and officers (as defined in Rule 16a-1(f) of the Securities and Exchange Act of 1934, as amended) adopted, terminated or modified a “Rule 10b5-1” or “non-Rule 10b5-1 trading arrangement” (as defined in Item 408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Exhibits furnished pursuant to the requirements of Form 10-Q:</w:t>
      </w:r>
    </w:p>
    <w:tbl>
      <w:tblPr>
        <w:tblW w:w="10205" w:type="dxa"/>
        <w:jc w:val="left"/>
        <w:tblInd w:w="0" w:type="dxa"/>
        <w:tblLayout w:type="fixed"/>
        <w:tblCellMar>
          <w:top w:w="28" w:type="dxa"/>
          <w:left w:w="28" w:type="dxa"/>
          <w:bottom w:w="28" w:type="dxa"/>
          <w:right w:w="28" w:type="dxa"/>
        </w:tblCellMar>
      </w:tblPr>
      <w:tblGrid>
        <w:gridCol w:w="230"/>
        <w:gridCol w:w="150"/>
        <w:gridCol w:w="150"/>
        <w:gridCol w:w="2801"/>
        <w:gridCol w:w="2801"/>
        <w:gridCol w:w="4073"/>
      </w:tblGrid>
      <w:tr>
        <w:trPr/>
        <w:tc>
          <w:tcPr>
            <w:tcW w:w="23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11.htm">
              <w:r>
                <w:rPr>
                  <w:rStyle w:val="InternetLink"/>
                  <w:rFonts w:ascii="Times New Roman;serif" w:hAnsi="Times New Roman;serif"/>
                  <w:b w:val="false"/>
                  <w:color w:val="0000FF"/>
                  <w:sz w:val="20"/>
                  <w:u w:val="single"/>
                </w:rPr>
                <w:t>31.1 +</w:t>
              </w:r>
            </w:hyperlink>
          </w:p>
        </w:tc>
        <w:tc>
          <w:tcPr>
            <w:tcW w:w="9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11.htm">
              <w:r>
                <w:rPr>
                  <w:rStyle w:val="InternetLink"/>
                  <w:rFonts w:ascii="Times New Roman;serif" w:hAnsi="Times New Roman;serif"/>
                  <w:b w:val="false"/>
                  <w:color w:val="0000FF"/>
                  <w:sz w:val="20"/>
                  <w:u w:val="single"/>
                </w:rPr>
                <w:t>Certification of Chief Executive Officer Pursuant to Rule 13a-14(a)/15d-14(a) as Adopted Pursuant to Section 302 of the Sarbanes-Oxley Act of 2002.</w:t>
              </w:r>
            </w:hyperlink>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12.htm">
              <w:r>
                <w:rPr>
                  <w:rStyle w:val="InternetLink"/>
                  <w:rFonts w:ascii="Times New Roman;serif" w:hAnsi="Times New Roman;serif"/>
                  <w:b w:val="false"/>
                  <w:color w:val="0000FF"/>
                  <w:sz w:val="20"/>
                  <w:u w:val="single"/>
                </w:rPr>
                <w:t>31.2 +</w:t>
              </w:r>
            </w:hyperlink>
          </w:p>
        </w:tc>
        <w:tc>
          <w:tcPr>
            <w:tcW w:w="9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12.htm">
              <w:r>
                <w:rPr>
                  <w:rStyle w:val="InternetLink"/>
                  <w:rFonts w:ascii="Times New Roman;serif" w:hAnsi="Times New Roman;serif"/>
                  <w:b w:val="false"/>
                  <w:color w:val="0000FF"/>
                  <w:sz w:val="20"/>
                  <w:u w:val="single"/>
                </w:rPr>
                <w:t>Certification of Chief Financial Officer Pursuant to Rule 13a-14(a)/15d-14(a) as Adopted Pursuant to Section 302 of the Sarbanes-Oxley Act of 2002.</w:t>
              </w:r>
            </w:hyperlink>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21.htm">
              <w:r>
                <w:rPr>
                  <w:rStyle w:val="InternetLink"/>
                  <w:rFonts w:ascii="Times New Roman;serif" w:hAnsi="Times New Roman;serif"/>
                  <w:b w:val="false"/>
                  <w:color w:val="0000FF"/>
                  <w:sz w:val="20"/>
                  <w:u w:val="single"/>
                </w:rPr>
                <w:t>32.1 ++</w:t>
              </w:r>
            </w:hyperlink>
          </w:p>
        </w:tc>
        <w:tc>
          <w:tcPr>
            <w:tcW w:w="9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22.htm">
              <w:r>
                <w:rPr>
                  <w:rStyle w:val="InternetLink"/>
                  <w:rFonts w:ascii="Times New Roman;serif" w:hAnsi="Times New Roman;serif"/>
                  <w:b w:val="false"/>
                  <w:color w:val="0000FF"/>
                  <w:sz w:val="20"/>
                  <w:u w:val="single"/>
                </w:rPr>
                <w:t>32.2 ++</w:t>
              </w:r>
            </w:hyperlink>
          </w:p>
        </w:tc>
        <w:tc>
          <w:tcPr>
            <w:tcW w:w="9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q2fy202710q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quarter ended August 1, 2026, formatted in Inline XBRL: (i) the Condensed Consolidated Balance Sheets; (ii) the Condensed Consolidated Statements of Operations; (iii) the Condensed Consolidated Statements of Comprehensive Income; (iv) the Condensed Consolidated Statements of Stockholders’ Equity; (v) the Condensed Consolidated Statements of Cash Flows; and (vi) the Notes to Condensed Consolidated Financial Statements.</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Registrant’s Quarterly Report on Form 10-Q for the quarter ended August 1, 2026, formatted in Inline XBRL (included as Exhibit 101)</w:t>
            </w:r>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2b4d703ccbc48198cb9b8e5f27829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3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387"/>
        <w:gridCol w:w="387"/>
        <w:gridCol w:w="387"/>
        <w:gridCol w:w="1206"/>
        <w:gridCol w:w="1206"/>
        <w:gridCol w:w="17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DYCOM INDUSTRIES,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 Peyovich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br/>
              <w:t xml:space="preserve">Title: </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S. Peyovich</w:t>
              <w:b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 Andrew DeFerrari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br/>
              <w:t xml:space="preserve">Title: </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Andrew DeFerrari</w:t>
              <w:b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Daniel S. Peyovich,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Dycom Industries,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222" w:type="dxa"/>
        <w:jc w:val="left"/>
        <w:tblInd w:w="0" w:type="dxa"/>
        <w:tblLayout w:type="fixed"/>
        <w:tblCellMar>
          <w:top w:w="28" w:type="dxa"/>
          <w:left w:w="28" w:type="dxa"/>
          <w:bottom w:w="28" w:type="dxa"/>
          <w:right w:w="28" w:type="dxa"/>
        </w:tblCellMar>
      </w:tblPr>
      <w:tblGrid>
        <w:gridCol w:w="313"/>
        <w:gridCol w:w="277"/>
        <w:gridCol w:w="279"/>
        <w:gridCol w:w="687"/>
        <w:gridCol w:w="687"/>
        <w:gridCol w:w="979"/>
      </w:tblGrid>
      <w:tr>
        <w:trPr/>
        <w:tc>
          <w:tcPr>
            <w:tcW w:w="31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 Peyovich</w:t>
            </w:r>
          </w:p>
        </w:tc>
      </w:tr>
      <w:tr>
        <w:trPr/>
        <w:tc>
          <w:tcPr>
            <w:tcW w:w="322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S. Peyovich</w:t>
            </w:r>
          </w:p>
        </w:tc>
      </w:tr>
      <w:tr>
        <w:trPr/>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 Andrew DeFerrari,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Dycom Industries,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151" w:type="dxa"/>
        <w:jc w:val="left"/>
        <w:tblInd w:w="0" w:type="dxa"/>
        <w:tblLayout w:type="fixed"/>
        <w:tblCellMar>
          <w:top w:w="28" w:type="dxa"/>
          <w:left w:w="28" w:type="dxa"/>
          <w:bottom w:w="28" w:type="dxa"/>
          <w:right w:w="28" w:type="dxa"/>
        </w:tblCellMar>
      </w:tblPr>
      <w:tblGrid>
        <w:gridCol w:w="404"/>
        <w:gridCol w:w="357"/>
        <w:gridCol w:w="359"/>
        <w:gridCol w:w="885"/>
        <w:gridCol w:w="885"/>
        <w:gridCol w:w="1261"/>
      </w:tblGrid>
      <w:tr>
        <w:trPr/>
        <w:tc>
          <w:tcPr>
            <w:tcW w:w="40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 Andrew DeFerrari</w:t>
            </w:r>
          </w:p>
        </w:tc>
      </w:tr>
      <w:tr>
        <w:trPr/>
        <w:tc>
          <w:tcPr>
            <w:tcW w:w="415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Andrew DeFerrari</w:t>
            </w:r>
          </w:p>
        </w:tc>
      </w:tr>
      <w:tr>
        <w:trPr/>
        <w:tc>
          <w:tcPr>
            <w:tcW w:w="41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Dycom Industries, Inc. (the “Company”) on Form 10-Q for the period ending August 1, 2026, as filed with the Securities and Exchange Commission on the date hereof (the “Report”), the undersigned hereby certifies that to the best of his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22" w:type="dxa"/>
        <w:jc w:val="left"/>
        <w:tblInd w:w="0" w:type="dxa"/>
        <w:tblLayout w:type="fixed"/>
        <w:tblCellMar>
          <w:top w:w="28" w:type="dxa"/>
          <w:left w:w="28" w:type="dxa"/>
          <w:bottom w:w="28" w:type="dxa"/>
          <w:right w:w="28" w:type="dxa"/>
        </w:tblCellMar>
      </w:tblPr>
      <w:tblGrid>
        <w:gridCol w:w="313"/>
        <w:gridCol w:w="277"/>
        <w:gridCol w:w="279"/>
        <w:gridCol w:w="687"/>
        <w:gridCol w:w="687"/>
        <w:gridCol w:w="979"/>
      </w:tblGrid>
      <w:tr>
        <w:trPr/>
        <w:tc>
          <w:tcPr>
            <w:tcW w:w="31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 Peyovich</w:t>
            </w:r>
          </w:p>
        </w:tc>
      </w:tr>
      <w:tr>
        <w:trPr/>
        <w:tc>
          <w:tcPr>
            <w:tcW w:w="322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S. Peyovich</w:t>
            </w:r>
          </w:p>
        </w:tc>
      </w:tr>
      <w:tr>
        <w:trPr/>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Dycom Industries, Inc. (the “Company”) on Form 10-Q for the period ending August 1, 2026, as filed with the Securities and Exchange Commission on the date hereof (the “Report”), the undersigned hereby certifies that to the best of his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51" w:type="dxa"/>
        <w:jc w:val="left"/>
        <w:tblInd w:w="0" w:type="dxa"/>
        <w:tblLayout w:type="fixed"/>
        <w:tblCellMar>
          <w:top w:w="28" w:type="dxa"/>
          <w:left w:w="28" w:type="dxa"/>
          <w:bottom w:w="28" w:type="dxa"/>
          <w:right w:w="28" w:type="dxa"/>
        </w:tblCellMar>
      </w:tblPr>
      <w:tblGrid>
        <w:gridCol w:w="404"/>
        <w:gridCol w:w="357"/>
        <w:gridCol w:w="359"/>
        <w:gridCol w:w="885"/>
        <w:gridCol w:w="885"/>
        <w:gridCol w:w="1261"/>
      </w:tblGrid>
      <w:tr>
        <w:trPr/>
        <w:tc>
          <w:tcPr>
            <w:tcW w:w="40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 Andrew DeFerrari</w:t>
            </w:r>
          </w:p>
        </w:tc>
      </w:tr>
      <w:tr>
        <w:trPr/>
        <w:tc>
          <w:tcPr>
            <w:tcW w:w="415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Andrew DeFerrari</w:t>
            </w:r>
          </w:p>
        </w:tc>
      </w:tr>
      <w:tr>
        <w:trPr/>
        <w:tc>
          <w:tcPr>
            <w:tcW w:w="41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24593</Words>
  <Characters>137235</Characters>
  <CharactersWithSpaces>160063</CharactersWithSpaces>
  <Paragraphs>3063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