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Peyovich Daniel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BANYAN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DYCOM INDUSTRIES INC</w:t>
              </w:r>
            </w:hyperlink>
            <w:r>
              <w:rPr/>
              <w:t xml:space="preserve"> [ </w:t>
            </w:r>
            <w:r>
              <w:rPr>
                <w:rFonts w:ascii="Times;serif" w:hAnsi="Times;serif"/>
                <w:color w:val="0000FF"/>
                <w:sz w:val="24"/>
                <w:shd w:fill="FFFFFF" w:val="clear"/>
              </w:rPr>
              <w:t>DY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296.76</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61,343</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850 shares were purchased via multiple transactions at prices ranging from $296.30 to $297.04, inclusive. The reporting person undertakes to provide to Dycom Industries, Inc., any security holder of Dycom Industries,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time-vesting restricted stock units ("TRSUs").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F. Urness by POA from Daniel S. Peyovich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7347" TargetMode="External"/><Relationship Id="rId5" Type="http://schemas.openxmlformats.org/officeDocument/2006/relationships/hyperlink" Target="http://www.sec.gov/cgi-bin/browse-edgar?action=getcompany&amp;CIK=00000672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3568</Characters>
  <CharactersWithSpaces>4152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