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Skillern Raejeanne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DYCOM INDUSTRIES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16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300 BANYAN BLVD</w:t>
            </w:r>
          </w:p>
        </w:tc>
        <w:tc>
          <w:tcPr>
            <w:tcW w:w="134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1101</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WEST PALM</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33401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gridSpan w:val="2"/>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5"/>
          </w:tcPr>
          <w:p>
            <w:pPr>
              <w:spacing w:after="0"/>
              <w:rPr>
                <w:sz w:val="10"/>
                <w:szCs w:val="10"/>
                <w:color w:val="auto"/>
              </w:rPr>
            </w:pPr>
          </w:p>
        </w:tc>
        <w:tc>
          <w:tcPr>
            <w:tcW w:w="12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19"/>
          </w:tcPr>
          <w:p>
            <w:pPr>
              <w:ind w:left="4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10"/>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2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gridSpan w:val="2"/>
          </w:tcPr>
          <w:p>
            <w:pPr>
              <w:ind w:left="160"/>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331</w:t>
            </w:r>
            <w:r>
              <w:rPr>
                <w:rFonts w:ascii="Times New Roman" w:cs="Times New Roman" w:eastAsia="Times New Roman" w:hAnsi="Times New Roman"/>
                <w:sz w:val="11"/>
                <w:szCs w:val="11"/>
                <w:color w:val="008000"/>
                <w:w w:val="90"/>
              </w:rPr>
              <w:t>(1)(2)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(3)</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460</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by the Issuer to the Reporting Person. Each RSU represents a contingent right to acquire one (1) share of Dycom Industries, Inc. common stock par value $0.33 1/3 per share ("DY common stock") upon vesting.</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one annual installment upon the earlier to occur of (i) May 28, 2027 or (ii) the date of the next annual meeting of shareholders of the Company.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consideration was paid for the RSUs.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Ryan F. Urness by POA</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from Raejeanne Skillern</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6684" TargetMode="External"/><Relationship Id="rId14" Type="http://schemas.openxmlformats.org/officeDocument/2006/relationships/hyperlink" Target="http://www.sec.gov/cgi-bin/browse-edgar?action=getcompany&amp;CIK=00000672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2026-05-29T18:00:25Z</dcterms:created>
  <dcterms:modified xsi:type="dcterms:W3CDTF">2026-05-29T18:00:25Z</dcterms:modified>
</cp:coreProperties>
</file>