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Dycom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$0.33 1/3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1,608,530.00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1,619,369.00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1,619,369.00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1,608,530.00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1,619,369.00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1,619,369.00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1,608,530.00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1,619,369.00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1,619,369.00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Dycom Industries,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Banyan Boulevard, Suite 1101, West Palm Beach, Florida 33401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$0.33 1/3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October 6, 2026, by and among Millennium Management LLC, Millennium Group Management LLC and Israel A. Englander.</w:t>
            </w:r>
          </w:p>
        </w:tc>
      </w:tr>
    </w:tbl>
    <w:p>
      <w:pPr>
        <w:pStyle w:val="TextBody"/>
        <w:bidi w:val="0"/>
        <w:jc w:val="left"/>
        <w:rPr/>
      </w:pPr>
      <w:bookmarkStart w:id="24" w:name="tm2627218d1_ex-i.htm"/>
      <w:bookmarkStart w:id="25" w:name="kstm2627218d1_exi"/>
      <w:bookmarkEnd w:id="24"/>
      <w:bookmarkEnd w:id="2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$0.33 1/3 per share, of Dycom Industries,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76"/>
        <w:gridCol w:w="3338"/>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3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pPr>
            <w:r>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3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pPr>
            <w:r>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pPr>
            <w:r>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33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1364</Words>
  <Characters>7069</Characters>
  <CharactersWithSpaces>8430</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